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5986C" w14:textId="77777777" w:rsidR="005D00F2" w:rsidRDefault="00D97B45" w:rsidP="00056FF2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</w:t>
      </w:r>
      <w:r w:rsidR="006F1541" w:rsidRPr="00B862FF">
        <w:rPr>
          <w:rFonts w:ascii="Cambria" w:hAnsi="Cambria"/>
          <w:b/>
          <w:bCs/>
        </w:rPr>
        <w:t>eglement Wetenschapscommissie TSB</w:t>
      </w:r>
      <w:r w:rsidR="00056FF2" w:rsidRPr="00B862FF">
        <w:rPr>
          <w:rFonts w:ascii="Cambria" w:hAnsi="Cambria"/>
          <w:b/>
          <w:bCs/>
        </w:rPr>
        <w:t xml:space="preserve"> </w:t>
      </w:r>
    </w:p>
    <w:p w14:paraId="7AB0D878" w14:textId="3A5561E7" w:rsidR="000B3348" w:rsidRPr="00B862FF" w:rsidRDefault="000B3348" w:rsidP="00056FF2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201</w:t>
      </w:r>
      <w:r w:rsidR="0012695A">
        <w:rPr>
          <w:rFonts w:ascii="Cambria" w:hAnsi="Cambria"/>
          <w:b/>
          <w:bCs/>
        </w:rPr>
        <w:t>6</w:t>
      </w:r>
    </w:p>
    <w:p w14:paraId="371550BC" w14:textId="77777777" w:rsidR="006F1541" w:rsidRDefault="006F1541" w:rsidP="00056FF2">
      <w:pPr>
        <w:pStyle w:val="Default"/>
        <w:rPr>
          <w:rFonts w:ascii="Cambria" w:hAnsi="Cambria"/>
        </w:rPr>
      </w:pPr>
    </w:p>
    <w:p w14:paraId="47C70C8C" w14:textId="77777777" w:rsidR="006F1541" w:rsidRPr="00B862FF" w:rsidRDefault="006F1541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</w:rPr>
        <w:t xml:space="preserve">Artikel 1: Doelstelling </w:t>
      </w:r>
    </w:p>
    <w:p w14:paraId="3A391EF1" w14:textId="77777777" w:rsidR="006F1541" w:rsidRPr="00B862FF" w:rsidRDefault="006F1541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</w:rPr>
        <w:t xml:space="preserve">Artikel 2: Samenstelling </w:t>
      </w:r>
    </w:p>
    <w:p w14:paraId="3C64D35A" w14:textId="77777777" w:rsidR="006F1541" w:rsidRPr="00B862FF" w:rsidRDefault="006F1541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</w:rPr>
        <w:t xml:space="preserve">Artikel 3: Vergaderingen en besluitvorming </w:t>
      </w:r>
    </w:p>
    <w:p w14:paraId="030CE855" w14:textId="77777777" w:rsidR="006F1541" w:rsidRPr="00B862FF" w:rsidRDefault="006F1541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</w:rPr>
        <w:t xml:space="preserve">Artikel 4: Taken </w:t>
      </w:r>
      <w:r w:rsidR="00DC0CAE" w:rsidRPr="00B862FF">
        <w:rPr>
          <w:rFonts w:ascii="Cambria" w:hAnsi="Cambria"/>
        </w:rPr>
        <w:t>en</w:t>
      </w:r>
      <w:r w:rsidR="00060019" w:rsidRPr="00B862FF">
        <w:rPr>
          <w:rFonts w:ascii="Cambria" w:hAnsi="Cambria"/>
        </w:rPr>
        <w:t xml:space="preserve"> bevoegdheden</w:t>
      </w:r>
    </w:p>
    <w:p w14:paraId="2139C70B" w14:textId="77777777" w:rsidR="00056FF2" w:rsidRPr="00B862FF" w:rsidRDefault="00056FF2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</w:rPr>
        <w:t xml:space="preserve">Artikel 5: </w:t>
      </w:r>
      <w:r w:rsidR="00DC0CAE" w:rsidRPr="00B862FF">
        <w:rPr>
          <w:rFonts w:ascii="Cambria" w:hAnsi="Cambria"/>
        </w:rPr>
        <w:t xml:space="preserve">Evaluatie </w:t>
      </w:r>
      <w:r w:rsidR="00D97B45">
        <w:rPr>
          <w:rFonts w:ascii="Cambria" w:hAnsi="Cambria"/>
        </w:rPr>
        <w:t xml:space="preserve">van </w:t>
      </w:r>
      <w:r w:rsidR="00DC0CAE" w:rsidRPr="00B862FF">
        <w:rPr>
          <w:rFonts w:ascii="Cambria" w:hAnsi="Cambria"/>
        </w:rPr>
        <w:t>onderzoek</w:t>
      </w:r>
    </w:p>
    <w:p w14:paraId="4095B363" w14:textId="77777777" w:rsidR="00BB14D4" w:rsidRPr="00B862FF" w:rsidRDefault="00BB14D4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</w:rPr>
        <w:t xml:space="preserve">Artikel 6: Handelingswijze </w:t>
      </w:r>
      <w:r w:rsidR="00DC0CAE" w:rsidRPr="00B862FF">
        <w:rPr>
          <w:rFonts w:ascii="Cambria" w:hAnsi="Cambria"/>
        </w:rPr>
        <w:t xml:space="preserve">en </w:t>
      </w:r>
      <w:r w:rsidRPr="00B862FF">
        <w:rPr>
          <w:rFonts w:ascii="Cambria" w:hAnsi="Cambria"/>
        </w:rPr>
        <w:t>rapportage</w:t>
      </w:r>
    </w:p>
    <w:p w14:paraId="4A0FA4E5" w14:textId="77777777" w:rsidR="00056FF2" w:rsidRPr="00B862FF" w:rsidRDefault="00056FF2" w:rsidP="00056FF2">
      <w:pPr>
        <w:pStyle w:val="Default"/>
        <w:ind w:left="720" w:hanging="360"/>
        <w:rPr>
          <w:rFonts w:ascii="Cambria" w:hAnsi="Cambria"/>
        </w:rPr>
      </w:pPr>
    </w:p>
    <w:p w14:paraId="5535CD6A" w14:textId="77777777" w:rsidR="006F1541" w:rsidRPr="00B862FF" w:rsidRDefault="006F1541" w:rsidP="00056FF2">
      <w:pPr>
        <w:pStyle w:val="Default"/>
        <w:rPr>
          <w:rFonts w:ascii="Cambria" w:hAnsi="Cambria"/>
          <w:b/>
          <w:bCs/>
        </w:rPr>
      </w:pPr>
      <w:r w:rsidRPr="00B862FF">
        <w:rPr>
          <w:rFonts w:ascii="Cambria" w:hAnsi="Cambria"/>
          <w:b/>
          <w:bCs/>
        </w:rPr>
        <w:t>Artikel 1: Doelstelling</w:t>
      </w:r>
    </w:p>
    <w:p w14:paraId="0C164EC0" w14:textId="06441BAF" w:rsidR="006F1541" w:rsidRDefault="006F1541" w:rsidP="006D5F42">
      <w:pPr>
        <w:pStyle w:val="Default"/>
        <w:rPr>
          <w:rFonts w:ascii="Cambria" w:hAnsi="Cambria"/>
        </w:rPr>
      </w:pPr>
      <w:r w:rsidRPr="00B862FF">
        <w:rPr>
          <w:rFonts w:ascii="Cambria" w:hAnsi="Cambria"/>
          <w:bCs/>
        </w:rPr>
        <w:t>De</w:t>
      </w:r>
      <w:r w:rsidRPr="00B862FF">
        <w:rPr>
          <w:rFonts w:ascii="Cambria" w:hAnsi="Cambria"/>
        </w:rPr>
        <w:t xml:space="preserve"> Commissie heeft </w:t>
      </w:r>
      <w:r w:rsidR="00056FF2" w:rsidRPr="00B862FF">
        <w:rPr>
          <w:rFonts w:ascii="Cambria" w:hAnsi="Cambria"/>
        </w:rPr>
        <w:t xml:space="preserve">in algemene zin </w:t>
      </w:r>
      <w:r w:rsidRPr="00B862FF">
        <w:rPr>
          <w:rFonts w:ascii="Cambria" w:hAnsi="Cambria"/>
        </w:rPr>
        <w:t>t</w:t>
      </w:r>
      <w:r w:rsidR="009C0337">
        <w:rPr>
          <w:rFonts w:ascii="Cambria" w:hAnsi="Cambria"/>
        </w:rPr>
        <w:t>ot</w:t>
      </w:r>
      <w:r w:rsidRPr="00B862FF">
        <w:rPr>
          <w:rFonts w:ascii="Cambria" w:hAnsi="Cambria"/>
        </w:rPr>
        <w:t xml:space="preserve"> doel om </w:t>
      </w:r>
      <w:r w:rsidR="00056FF2" w:rsidRPr="00B862FF">
        <w:rPr>
          <w:rFonts w:ascii="Cambria" w:hAnsi="Cambria"/>
        </w:rPr>
        <w:t>de kwaliteit van de wetenschaps</w:t>
      </w:r>
      <w:r w:rsidR="00B606FD">
        <w:rPr>
          <w:rFonts w:ascii="Cambria" w:hAnsi="Cambria"/>
        </w:rPr>
        <w:t>-</w:t>
      </w:r>
      <w:r w:rsidR="00056FF2" w:rsidRPr="00B862FF">
        <w:rPr>
          <w:rFonts w:ascii="Cambria" w:hAnsi="Cambria"/>
        </w:rPr>
        <w:t xml:space="preserve">beoefening bij TSB te </w:t>
      </w:r>
      <w:r w:rsidR="00DC0CAE" w:rsidRPr="00B862FF">
        <w:rPr>
          <w:rFonts w:ascii="Cambria" w:hAnsi="Cambria"/>
        </w:rPr>
        <w:t>optimaliseren</w:t>
      </w:r>
      <w:r w:rsidR="00056FF2" w:rsidRPr="00B862FF">
        <w:rPr>
          <w:rFonts w:ascii="Cambria" w:hAnsi="Cambria"/>
        </w:rPr>
        <w:t xml:space="preserve">. </w:t>
      </w:r>
      <w:r w:rsidR="001652F6">
        <w:rPr>
          <w:rFonts w:ascii="Cambria" w:hAnsi="Cambria"/>
        </w:rPr>
        <w:t>D</w:t>
      </w:r>
      <w:r w:rsidR="00D97B45">
        <w:rPr>
          <w:rFonts w:ascii="Cambria" w:hAnsi="Cambria"/>
        </w:rPr>
        <w:t>e Co</w:t>
      </w:r>
      <w:r w:rsidR="00E237EB">
        <w:rPr>
          <w:rFonts w:ascii="Cambria" w:hAnsi="Cambria"/>
        </w:rPr>
        <w:t>m</w:t>
      </w:r>
      <w:r w:rsidR="00D97B45">
        <w:rPr>
          <w:rFonts w:ascii="Cambria" w:hAnsi="Cambria"/>
        </w:rPr>
        <w:t>missie richt</w:t>
      </w:r>
      <w:r w:rsidR="001652F6">
        <w:rPr>
          <w:rFonts w:ascii="Cambria" w:hAnsi="Cambria"/>
        </w:rPr>
        <w:t xml:space="preserve"> zich</w:t>
      </w:r>
      <w:r w:rsidR="00D97B45">
        <w:rPr>
          <w:rFonts w:ascii="Cambria" w:hAnsi="Cambria"/>
        </w:rPr>
        <w:t xml:space="preserve"> </w:t>
      </w:r>
      <w:r w:rsidR="00AE2A20">
        <w:rPr>
          <w:rFonts w:ascii="Cambria" w:hAnsi="Cambria"/>
        </w:rPr>
        <w:t xml:space="preserve">specifiek </w:t>
      </w:r>
      <w:r w:rsidR="00D97B45">
        <w:rPr>
          <w:rFonts w:ascii="Cambria" w:hAnsi="Cambria"/>
        </w:rPr>
        <w:t xml:space="preserve">op </w:t>
      </w:r>
      <w:r w:rsidR="00056FF2" w:rsidRPr="00B862FF">
        <w:rPr>
          <w:rFonts w:ascii="Cambria" w:hAnsi="Cambria"/>
        </w:rPr>
        <w:t xml:space="preserve">de kwaliteit van </w:t>
      </w:r>
      <w:r w:rsidR="00DC0CAE" w:rsidRPr="00B862FF">
        <w:rPr>
          <w:rFonts w:ascii="Cambria" w:hAnsi="Cambria"/>
        </w:rPr>
        <w:t>het omgaan met data en het rapporteren van methoden (</w:t>
      </w:r>
      <w:r w:rsidR="00D97B45">
        <w:rPr>
          <w:rFonts w:ascii="Cambria" w:hAnsi="Cambria"/>
        </w:rPr>
        <w:t xml:space="preserve">verder: </w:t>
      </w:r>
      <w:r w:rsidR="00DC0CAE" w:rsidRPr="00B862FF">
        <w:rPr>
          <w:rFonts w:ascii="Cambria" w:hAnsi="Cambria"/>
        </w:rPr>
        <w:t>“</w:t>
      </w:r>
      <w:r w:rsidR="00056FF2" w:rsidRPr="00B862FF">
        <w:rPr>
          <w:rFonts w:ascii="Cambria" w:hAnsi="Cambria"/>
        </w:rPr>
        <w:t xml:space="preserve">data handling </w:t>
      </w:r>
      <w:r w:rsidR="00D97B45">
        <w:rPr>
          <w:rFonts w:ascii="Cambria" w:hAnsi="Cambria"/>
        </w:rPr>
        <w:t>&amp;</w:t>
      </w:r>
      <w:r w:rsidR="00056FF2" w:rsidRPr="00B862FF">
        <w:rPr>
          <w:rFonts w:ascii="Cambria" w:hAnsi="Cambria"/>
        </w:rPr>
        <w:t xml:space="preserve"> methods reporting</w:t>
      </w:r>
      <w:r w:rsidR="00D97B45">
        <w:rPr>
          <w:rFonts w:ascii="Cambria" w:hAnsi="Cambria"/>
        </w:rPr>
        <w:t>, afgekort tot</w:t>
      </w:r>
      <w:r w:rsidR="00DC0CAE" w:rsidRPr="00B862FF">
        <w:rPr>
          <w:rFonts w:ascii="Cambria" w:hAnsi="Cambria"/>
        </w:rPr>
        <w:t xml:space="preserve"> DHMR”</w:t>
      </w:r>
      <w:r w:rsidR="00BF1A46">
        <w:rPr>
          <w:rFonts w:ascii="Cambria" w:hAnsi="Cambria"/>
        </w:rPr>
        <w:t>)</w:t>
      </w:r>
      <w:r w:rsidR="00056FF2" w:rsidRPr="00B862FF">
        <w:rPr>
          <w:rFonts w:ascii="Cambria" w:hAnsi="Cambria"/>
        </w:rPr>
        <w:t xml:space="preserve"> bij TSB.</w:t>
      </w:r>
      <w:r w:rsidR="001652F6">
        <w:rPr>
          <w:rFonts w:ascii="Cambria" w:hAnsi="Cambria"/>
        </w:rPr>
        <w:t xml:space="preserve"> </w:t>
      </w:r>
    </w:p>
    <w:p w14:paraId="4ED7DD29" w14:textId="77777777" w:rsidR="001652F6" w:rsidRPr="00AE2A20" w:rsidRDefault="001652F6" w:rsidP="006D5F42">
      <w:pPr>
        <w:pStyle w:val="Default"/>
        <w:rPr>
          <w:rFonts w:ascii="Cambria" w:hAnsi="Cambria"/>
          <w:bCs/>
          <w:color w:val="auto"/>
        </w:rPr>
      </w:pPr>
      <w:r w:rsidRPr="00AE2A20">
        <w:rPr>
          <w:rFonts w:ascii="Cambria" w:hAnsi="Cambria"/>
          <w:color w:val="auto"/>
        </w:rPr>
        <w:t>Data handling &amp; methods reporting (</w:t>
      </w:r>
      <w:r w:rsidR="00F24B41">
        <w:rPr>
          <w:rFonts w:ascii="Cambria" w:hAnsi="Cambria"/>
          <w:color w:val="auto"/>
        </w:rPr>
        <w:t>“</w:t>
      </w:r>
      <w:r w:rsidRPr="00AE2A20">
        <w:rPr>
          <w:rFonts w:ascii="Cambria" w:hAnsi="Cambria"/>
          <w:color w:val="auto"/>
        </w:rPr>
        <w:t>DHMR</w:t>
      </w:r>
      <w:r w:rsidR="00F24B41">
        <w:rPr>
          <w:rFonts w:ascii="Cambria" w:hAnsi="Cambria"/>
          <w:color w:val="auto"/>
        </w:rPr>
        <w:t>”</w:t>
      </w:r>
      <w:r w:rsidRPr="00AE2A20">
        <w:rPr>
          <w:rFonts w:ascii="Cambria" w:hAnsi="Cambria"/>
          <w:color w:val="auto"/>
        </w:rPr>
        <w:t>) wordt gedefinieerd als het op correcte en integere wijze verzamelen, bewerken, opslaan en rapporteren van wetenschappelijke data en de hiertoe gebruikte onderzoeksmaterialen (</w:t>
      </w:r>
      <w:r w:rsidR="00CD6410" w:rsidRPr="00AE2A20">
        <w:rPr>
          <w:rFonts w:ascii="Cambria" w:hAnsi="Cambria"/>
          <w:bCs/>
          <w:color w:val="auto"/>
        </w:rPr>
        <w:t xml:space="preserve">proefopzet, </w:t>
      </w:r>
      <w:r w:rsidR="00E4115D" w:rsidRPr="00AE2A20">
        <w:rPr>
          <w:rFonts w:ascii="Cambria" w:hAnsi="Cambria"/>
          <w:bCs/>
          <w:color w:val="auto"/>
        </w:rPr>
        <w:t>software, ingevulde vragenlijsten, enz.)</w:t>
      </w:r>
      <w:r w:rsidRPr="00AE2A20">
        <w:rPr>
          <w:rFonts w:ascii="Cambria" w:hAnsi="Cambria"/>
          <w:bCs/>
          <w:color w:val="auto"/>
        </w:rPr>
        <w:t xml:space="preserve">; verder het </w:t>
      </w:r>
      <w:r w:rsidR="00AE2A20">
        <w:rPr>
          <w:rFonts w:ascii="Cambria" w:hAnsi="Cambria"/>
          <w:bCs/>
          <w:color w:val="auto"/>
        </w:rPr>
        <w:t xml:space="preserve">op </w:t>
      </w:r>
      <w:r w:rsidR="00AE2A20" w:rsidRPr="00AE2A20">
        <w:rPr>
          <w:rFonts w:ascii="Cambria" w:hAnsi="Cambria"/>
          <w:bCs/>
          <w:color w:val="auto"/>
        </w:rPr>
        <w:t xml:space="preserve">dusdanige wijze verslagleggen van data en </w:t>
      </w:r>
      <w:r w:rsidR="00F24B41">
        <w:rPr>
          <w:rFonts w:ascii="Cambria" w:hAnsi="Cambria"/>
          <w:bCs/>
          <w:color w:val="auto"/>
        </w:rPr>
        <w:t xml:space="preserve">gebruikte </w:t>
      </w:r>
      <w:r w:rsidR="00AE2A20" w:rsidRPr="00AE2A20">
        <w:rPr>
          <w:rFonts w:ascii="Cambria" w:hAnsi="Cambria"/>
          <w:bCs/>
          <w:color w:val="auto"/>
        </w:rPr>
        <w:t xml:space="preserve">onderzoeksmaterialen dat deze </w:t>
      </w:r>
      <w:r w:rsidR="00AE2A20">
        <w:rPr>
          <w:rFonts w:ascii="Cambria" w:hAnsi="Cambria"/>
          <w:bCs/>
          <w:color w:val="auto"/>
        </w:rPr>
        <w:t>d</w:t>
      </w:r>
      <w:r w:rsidR="00AE2A20" w:rsidRPr="00AE2A20">
        <w:rPr>
          <w:rFonts w:ascii="Cambria" w:hAnsi="Cambria"/>
          <w:bCs/>
          <w:color w:val="auto"/>
        </w:rPr>
        <w:t xml:space="preserve">oor andere onderzoekers eenvoudig te begrijpen en </w:t>
      </w:r>
      <w:r w:rsidR="009C0337">
        <w:rPr>
          <w:rFonts w:ascii="Cambria" w:hAnsi="Cambria"/>
          <w:bCs/>
          <w:color w:val="auto"/>
        </w:rPr>
        <w:t xml:space="preserve">te </w:t>
      </w:r>
      <w:r w:rsidR="00AE2A20" w:rsidRPr="00AE2A20">
        <w:rPr>
          <w:rFonts w:ascii="Cambria" w:hAnsi="Cambria"/>
          <w:bCs/>
          <w:color w:val="auto"/>
        </w:rPr>
        <w:t>gebruiken zijn.</w:t>
      </w:r>
      <w:r w:rsidR="00C40030">
        <w:rPr>
          <w:rFonts w:ascii="Cambria" w:hAnsi="Cambria"/>
          <w:bCs/>
          <w:color w:val="auto"/>
        </w:rPr>
        <w:t xml:space="preserve"> </w:t>
      </w:r>
    </w:p>
    <w:p w14:paraId="4A4C5DB0" w14:textId="77777777" w:rsidR="001652F6" w:rsidRDefault="001652F6" w:rsidP="00056FF2">
      <w:pPr>
        <w:pStyle w:val="Default"/>
        <w:rPr>
          <w:rFonts w:ascii="Cambria" w:hAnsi="Cambria"/>
          <w:b/>
          <w:bCs/>
        </w:rPr>
      </w:pPr>
    </w:p>
    <w:p w14:paraId="6EB30313" w14:textId="77777777" w:rsidR="006F1541" w:rsidRPr="00B862FF" w:rsidRDefault="006F1541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  <w:b/>
          <w:bCs/>
        </w:rPr>
        <w:t xml:space="preserve">Artikel 2: Samenstelling </w:t>
      </w:r>
    </w:p>
    <w:p w14:paraId="6489DD72" w14:textId="77777777" w:rsidR="00D97B45" w:rsidRDefault="006F1541" w:rsidP="006D5F42">
      <w:pPr>
        <w:pStyle w:val="Default"/>
        <w:numPr>
          <w:ilvl w:val="0"/>
          <w:numId w:val="7"/>
        </w:numPr>
        <w:ind w:left="426" w:hanging="426"/>
        <w:rPr>
          <w:rFonts w:ascii="Cambria" w:hAnsi="Cambria"/>
          <w:color w:val="auto"/>
        </w:rPr>
      </w:pPr>
      <w:r w:rsidRPr="00AE2A20">
        <w:rPr>
          <w:rFonts w:ascii="Cambria" w:hAnsi="Cambria"/>
          <w:color w:val="auto"/>
        </w:rPr>
        <w:t xml:space="preserve">De Commissie bestaat uit minimaal </w:t>
      </w:r>
      <w:r w:rsidR="00056FF2" w:rsidRPr="00AE2A20">
        <w:rPr>
          <w:rFonts w:ascii="Cambria" w:hAnsi="Cambria"/>
          <w:color w:val="auto"/>
        </w:rPr>
        <w:t xml:space="preserve">5 </w:t>
      </w:r>
      <w:r w:rsidRPr="00AE2A20">
        <w:rPr>
          <w:rFonts w:ascii="Cambria" w:hAnsi="Cambria"/>
          <w:color w:val="auto"/>
        </w:rPr>
        <w:t xml:space="preserve">en maximaal </w:t>
      </w:r>
      <w:r w:rsidR="00056FF2" w:rsidRPr="00AE2A20">
        <w:rPr>
          <w:rFonts w:ascii="Cambria" w:hAnsi="Cambria"/>
          <w:color w:val="auto"/>
        </w:rPr>
        <w:t>7</w:t>
      </w:r>
      <w:r w:rsidRPr="00AE2A20">
        <w:rPr>
          <w:rFonts w:ascii="Cambria" w:hAnsi="Cambria"/>
          <w:color w:val="auto"/>
        </w:rPr>
        <w:t xml:space="preserve"> leden, die door de decaan </w:t>
      </w:r>
      <w:r w:rsidR="00B46697">
        <w:rPr>
          <w:rFonts w:ascii="Cambria" w:hAnsi="Cambria"/>
          <w:color w:val="auto"/>
        </w:rPr>
        <w:t xml:space="preserve">voor de duur van vier jaar </w:t>
      </w:r>
      <w:r w:rsidRPr="00AE2A20">
        <w:rPr>
          <w:rFonts w:ascii="Cambria" w:hAnsi="Cambria"/>
          <w:color w:val="auto"/>
        </w:rPr>
        <w:t xml:space="preserve">worden benoemd. </w:t>
      </w:r>
      <w:r w:rsidR="002A5221" w:rsidRPr="00AE2A20">
        <w:rPr>
          <w:rFonts w:ascii="Cambria" w:hAnsi="Cambria"/>
          <w:color w:val="auto"/>
        </w:rPr>
        <w:t>De leden van de Commissie handelen niet op persoonlijke titel, maar in functie van TSB.</w:t>
      </w:r>
    </w:p>
    <w:p w14:paraId="18014DD6" w14:textId="77777777" w:rsidR="00056FF2" w:rsidRPr="006D5F42" w:rsidRDefault="006F1541" w:rsidP="006D5F42">
      <w:pPr>
        <w:pStyle w:val="Default"/>
        <w:numPr>
          <w:ilvl w:val="0"/>
          <w:numId w:val="7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</w:rPr>
        <w:t xml:space="preserve">De Commissie bestaat uit </w:t>
      </w:r>
      <w:r w:rsidR="00232ADD" w:rsidRPr="006D5F42">
        <w:rPr>
          <w:rFonts w:ascii="Cambria" w:hAnsi="Cambria"/>
        </w:rPr>
        <w:t>leden van de vaste staf van TSB, in de rangen van UD, UHD en hoogleraar.</w:t>
      </w:r>
    </w:p>
    <w:p w14:paraId="0513C20B" w14:textId="77777777" w:rsidR="006F1541" w:rsidRPr="006D5F42" w:rsidRDefault="006F1541" w:rsidP="006D5F42">
      <w:pPr>
        <w:pStyle w:val="Default"/>
        <w:numPr>
          <w:ilvl w:val="0"/>
          <w:numId w:val="7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>De decaan</w:t>
      </w:r>
      <w:r w:rsidR="00AE2A20" w:rsidRPr="006D5F42">
        <w:rPr>
          <w:rFonts w:ascii="Cambria" w:hAnsi="Cambria"/>
          <w:color w:val="auto"/>
        </w:rPr>
        <w:t xml:space="preserve"> </w:t>
      </w:r>
      <w:r w:rsidRPr="006D5F42">
        <w:rPr>
          <w:rFonts w:ascii="Cambria" w:hAnsi="Cambria"/>
          <w:color w:val="auto"/>
        </w:rPr>
        <w:t xml:space="preserve">benoemt uit de </w:t>
      </w:r>
      <w:r w:rsidR="00DC0CAE" w:rsidRPr="006D5F42">
        <w:rPr>
          <w:rFonts w:ascii="Cambria" w:hAnsi="Cambria"/>
          <w:color w:val="auto"/>
        </w:rPr>
        <w:t>commissie</w:t>
      </w:r>
      <w:r w:rsidRPr="006D5F42">
        <w:rPr>
          <w:rFonts w:ascii="Cambria" w:hAnsi="Cambria"/>
          <w:color w:val="auto"/>
        </w:rPr>
        <w:t xml:space="preserve">leden een voorzitter </w:t>
      </w:r>
      <w:r w:rsidR="00056FF2" w:rsidRPr="006D5F42">
        <w:rPr>
          <w:rFonts w:ascii="Cambria" w:hAnsi="Cambria"/>
          <w:color w:val="auto"/>
        </w:rPr>
        <w:t xml:space="preserve">(een hoogleraar) </w:t>
      </w:r>
      <w:r w:rsidRPr="006D5F42">
        <w:rPr>
          <w:rFonts w:ascii="Cambria" w:hAnsi="Cambria"/>
          <w:color w:val="auto"/>
        </w:rPr>
        <w:t xml:space="preserve">en een plaatsvervangend voorzitter. </w:t>
      </w:r>
    </w:p>
    <w:p w14:paraId="6207D56B" w14:textId="77777777" w:rsidR="00AE2A20" w:rsidRDefault="00AE2A20" w:rsidP="00056FF2">
      <w:pPr>
        <w:pStyle w:val="Default"/>
        <w:rPr>
          <w:rFonts w:ascii="Cambria" w:hAnsi="Cambria"/>
          <w:b/>
          <w:bCs/>
        </w:rPr>
      </w:pPr>
    </w:p>
    <w:p w14:paraId="61935744" w14:textId="7B5E60BA" w:rsidR="006F1541" w:rsidRPr="00B862FF" w:rsidRDefault="006F1541" w:rsidP="00056FF2">
      <w:pPr>
        <w:pStyle w:val="Default"/>
        <w:rPr>
          <w:rFonts w:ascii="Cambria" w:hAnsi="Cambria"/>
        </w:rPr>
      </w:pPr>
      <w:r w:rsidRPr="00B862FF">
        <w:rPr>
          <w:rFonts w:ascii="Cambria" w:hAnsi="Cambria"/>
          <w:b/>
          <w:bCs/>
        </w:rPr>
        <w:t>A</w:t>
      </w:r>
      <w:r w:rsidR="000B3348">
        <w:rPr>
          <w:rFonts w:ascii="Cambria" w:hAnsi="Cambria"/>
          <w:b/>
          <w:bCs/>
        </w:rPr>
        <w:t>r</w:t>
      </w:r>
      <w:r w:rsidRPr="00B862FF">
        <w:rPr>
          <w:rFonts w:ascii="Cambria" w:hAnsi="Cambria"/>
          <w:b/>
          <w:bCs/>
        </w:rPr>
        <w:t xml:space="preserve">tikel 3: Vergaderingen en besluitvorming </w:t>
      </w:r>
    </w:p>
    <w:p w14:paraId="6C87AD08" w14:textId="77777777" w:rsidR="006F1541" w:rsidRDefault="006F1541" w:rsidP="006D5F42">
      <w:pPr>
        <w:pStyle w:val="Default"/>
        <w:numPr>
          <w:ilvl w:val="0"/>
          <w:numId w:val="8"/>
        </w:numPr>
        <w:ind w:left="426" w:hanging="426"/>
        <w:rPr>
          <w:rFonts w:ascii="Cambria" w:hAnsi="Cambria"/>
        </w:rPr>
      </w:pPr>
      <w:r w:rsidRPr="00B862FF">
        <w:rPr>
          <w:rFonts w:ascii="Cambria" w:hAnsi="Cambria"/>
        </w:rPr>
        <w:t>De Commissie vergadert minste</w:t>
      </w:r>
      <w:r w:rsidR="00BB14D4" w:rsidRPr="00B862FF">
        <w:rPr>
          <w:rFonts w:ascii="Cambria" w:hAnsi="Cambria"/>
        </w:rPr>
        <w:t>ns</w:t>
      </w:r>
      <w:r w:rsidRPr="00B862FF">
        <w:rPr>
          <w:rFonts w:ascii="Cambria" w:hAnsi="Cambria"/>
        </w:rPr>
        <w:t xml:space="preserve"> </w:t>
      </w:r>
      <w:r w:rsidR="00056FF2" w:rsidRPr="00B862FF">
        <w:rPr>
          <w:rFonts w:ascii="Cambria" w:hAnsi="Cambria"/>
        </w:rPr>
        <w:t xml:space="preserve">4 </w:t>
      </w:r>
      <w:r w:rsidRPr="00B862FF">
        <w:rPr>
          <w:rFonts w:ascii="Cambria" w:hAnsi="Cambria"/>
        </w:rPr>
        <w:t>maal per jaar</w:t>
      </w:r>
      <w:r w:rsidR="00232ADD">
        <w:rPr>
          <w:rFonts w:ascii="Cambria" w:hAnsi="Cambria"/>
        </w:rPr>
        <w:t xml:space="preserve"> en wordt door de voorzitter bijeengeroepen.</w:t>
      </w:r>
    </w:p>
    <w:p w14:paraId="2C060A3D" w14:textId="77777777" w:rsidR="006F1541" w:rsidRDefault="00232ADD" w:rsidP="006D5F42">
      <w:pPr>
        <w:pStyle w:val="Default"/>
        <w:numPr>
          <w:ilvl w:val="0"/>
          <w:numId w:val="8"/>
        </w:numPr>
        <w:ind w:left="426" w:hanging="426"/>
        <w:rPr>
          <w:rFonts w:ascii="Cambria" w:hAnsi="Cambria"/>
        </w:rPr>
      </w:pPr>
      <w:r w:rsidRPr="006D5F42">
        <w:rPr>
          <w:rFonts w:ascii="Cambria" w:hAnsi="Cambria"/>
        </w:rPr>
        <w:t>D</w:t>
      </w:r>
      <w:r w:rsidR="006F1541" w:rsidRPr="006D5F42">
        <w:rPr>
          <w:rFonts w:ascii="Cambria" w:hAnsi="Cambria"/>
        </w:rPr>
        <w:t xml:space="preserve">e Commissie </w:t>
      </w:r>
      <w:r w:rsidRPr="006D5F42">
        <w:rPr>
          <w:rFonts w:ascii="Cambria" w:hAnsi="Cambria"/>
        </w:rPr>
        <w:t xml:space="preserve">wordt tevens </w:t>
      </w:r>
      <w:r w:rsidR="006F1541" w:rsidRPr="006D5F42">
        <w:rPr>
          <w:rFonts w:ascii="Cambria" w:hAnsi="Cambria"/>
        </w:rPr>
        <w:t>door de voorzitter bijeengeroepen</w:t>
      </w:r>
      <w:r w:rsidRPr="006D5F42">
        <w:rPr>
          <w:rFonts w:ascii="Cambria" w:hAnsi="Cambria"/>
        </w:rPr>
        <w:t xml:space="preserve"> als minstens twee leden van de Commissie dit schriftelijk en met opgave van het te behandelen onderwerp verzoeken.</w:t>
      </w:r>
    </w:p>
    <w:p w14:paraId="7EC38339" w14:textId="77777777" w:rsidR="006F1541" w:rsidRDefault="006F1541" w:rsidP="006D5F42">
      <w:pPr>
        <w:pStyle w:val="Default"/>
        <w:numPr>
          <w:ilvl w:val="0"/>
          <w:numId w:val="8"/>
        </w:numPr>
        <w:ind w:left="426" w:hanging="426"/>
        <w:rPr>
          <w:rFonts w:ascii="Cambria" w:hAnsi="Cambria"/>
        </w:rPr>
      </w:pPr>
      <w:r w:rsidRPr="006D5F42">
        <w:rPr>
          <w:rFonts w:ascii="Cambria" w:hAnsi="Cambria"/>
        </w:rPr>
        <w:t>De Commissie besluit bij meerderheid van stemmen. Besluiten kunnen slechts worden genomen, indien meer dan de helft van het aantal zitting hebbende leden aanwezig is.</w:t>
      </w:r>
      <w:r w:rsidR="009C1461" w:rsidRPr="006D5F42">
        <w:rPr>
          <w:rFonts w:ascii="Cambria" w:hAnsi="Cambria"/>
        </w:rPr>
        <w:t xml:space="preserve"> </w:t>
      </w:r>
    </w:p>
    <w:p w14:paraId="2D8E2356" w14:textId="43663CAC" w:rsidR="006F1541" w:rsidRPr="006D5F42" w:rsidRDefault="006F1541" w:rsidP="006D5F42">
      <w:pPr>
        <w:pStyle w:val="Default"/>
        <w:numPr>
          <w:ilvl w:val="0"/>
          <w:numId w:val="8"/>
        </w:numPr>
        <w:ind w:left="426" w:hanging="426"/>
        <w:rPr>
          <w:rFonts w:ascii="Cambria" w:hAnsi="Cambria"/>
        </w:rPr>
      </w:pPr>
      <w:r w:rsidRPr="006D5F42">
        <w:rPr>
          <w:rFonts w:ascii="Cambria" w:hAnsi="Cambria"/>
        </w:rPr>
        <w:t xml:space="preserve">De Commissie regelt voor het overige zelf haar werkwijze. </w:t>
      </w:r>
    </w:p>
    <w:p w14:paraId="40EE5702" w14:textId="77777777" w:rsidR="006F1541" w:rsidRPr="00B862FF" w:rsidRDefault="006F1541" w:rsidP="00056FF2">
      <w:pPr>
        <w:pStyle w:val="Default"/>
        <w:rPr>
          <w:rFonts w:ascii="Cambria" w:hAnsi="Cambria"/>
        </w:rPr>
      </w:pPr>
    </w:p>
    <w:p w14:paraId="128CCD7B" w14:textId="77777777" w:rsidR="00056FF2" w:rsidRPr="00B862FF" w:rsidRDefault="006F1541" w:rsidP="00056FF2">
      <w:pPr>
        <w:pStyle w:val="Default"/>
        <w:rPr>
          <w:rFonts w:ascii="Cambria" w:hAnsi="Cambria"/>
          <w:b/>
          <w:bCs/>
        </w:rPr>
      </w:pPr>
      <w:r w:rsidRPr="00B862FF">
        <w:rPr>
          <w:rFonts w:ascii="Cambria" w:hAnsi="Cambria"/>
          <w:b/>
          <w:bCs/>
        </w:rPr>
        <w:t xml:space="preserve">Artikel 4: Taken </w:t>
      </w:r>
      <w:r w:rsidR="00D97B45">
        <w:rPr>
          <w:rFonts w:ascii="Cambria" w:hAnsi="Cambria"/>
          <w:b/>
          <w:bCs/>
        </w:rPr>
        <w:t xml:space="preserve">en </w:t>
      </w:r>
      <w:r w:rsidR="00F24B41">
        <w:rPr>
          <w:rFonts w:ascii="Cambria" w:hAnsi="Cambria"/>
          <w:b/>
          <w:bCs/>
        </w:rPr>
        <w:t>bevoegdheden</w:t>
      </w:r>
    </w:p>
    <w:p w14:paraId="3EB3B4C9" w14:textId="77777777" w:rsidR="006F1541" w:rsidRPr="00B862FF" w:rsidRDefault="006F1541" w:rsidP="006D5F42">
      <w:pPr>
        <w:pStyle w:val="Default"/>
        <w:numPr>
          <w:ilvl w:val="0"/>
          <w:numId w:val="1"/>
        </w:numPr>
        <w:ind w:left="426" w:hanging="426"/>
        <w:rPr>
          <w:rFonts w:ascii="Cambria" w:hAnsi="Cambria"/>
        </w:rPr>
      </w:pPr>
      <w:r w:rsidRPr="00B862FF">
        <w:rPr>
          <w:rFonts w:ascii="Cambria" w:hAnsi="Cambria"/>
        </w:rPr>
        <w:t xml:space="preserve">De </w:t>
      </w:r>
      <w:r w:rsidR="00BB14D4" w:rsidRPr="00B862FF">
        <w:rPr>
          <w:rFonts w:ascii="Cambria" w:hAnsi="Cambria"/>
        </w:rPr>
        <w:t>C</w:t>
      </w:r>
      <w:r w:rsidRPr="00B862FF">
        <w:rPr>
          <w:rFonts w:ascii="Cambria" w:hAnsi="Cambria"/>
        </w:rPr>
        <w:t xml:space="preserve">ommissie is </w:t>
      </w:r>
      <w:r w:rsidR="00056FF2" w:rsidRPr="00B862FF">
        <w:rPr>
          <w:rFonts w:ascii="Cambria" w:hAnsi="Cambria"/>
        </w:rPr>
        <w:t xml:space="preserve">specifiek </w:t>
      </w:r>
      <w:r w:rsidRPr="00B862FF">
        <w:rPr>
          <w:rFonts w:ascii="Cambria" w:hAnsi="Cambria"/>
        </w:rPr>
        <w:t xml:space="preserve">belast met: </w:t>
      </w:r>
    </w:p>
    <w:p w14:paraId="0F2B5957" w14:textId="77777777" w:rsidR="006F1541" w:rsidRDefault="00087FD6" w:rsidP="006D5F42">
      <w:pPr>
        <w:pStyle w:val="Default"/>
        <w:numPr>
          <w:ilvl w:val="0"/>
          <w:numId w:val="6"/>
        </w:numPr>
        <w:ind w:left="709" w:hanging="283"/>
        <w:rPr>
          <w:rFonts w:ascii="Cambria" w:hAnsi="Cambria"/>
        </w:rPr>
      </w:pPr>
      <w:r w:rsidRPr="006D5F42">
        <w:rPr>
          <w:rFonts w:ascii="Cambria" w:hAnsi="Cambria"/>
        </w:rPr>
        <w:t>H</w:t>
      </w:r>
      <w:r w:rsidR="006F1541" w:rsidRPr="006D5F42">
        <w:rPr>
          <w:rFonts w:ascii="Cambria" w:hAnsi="Cambria"/>
        </w:rPr>
        <w:t xml:space="preserve">et </w:t>
      </w:r>
      <w:r w:rsidR="00F24B41" w:rsidRPr="006D5F42">
        <w:rPr>
          <w:rFonts w:ascii="Cambria" w:hAnsi="Cambria"/>
        </w:rPr>
        <w:t xml:space="preserve">opstellen en </w:t>
      </w:r>
      <w:r w:rsidR="006F1541" w:rsidRPr="006D5F42">
        <w:rPr>
          <w:rFonts w:ascii="Cambria" w:hAnsi="Cambria"/>
        </w:rPr>
        <w:t xml:space="preserve">jaarlijks bijstellen van </w:t>
      </w:r>
      <w:r w:rsidR="00BB14D4" w:rsidRPr="006D5F42">
        <w:rPr>
          <w:rFonts w:ascii="Cambria" w:hAnsi="Cambria"/>
        </w:rPr>
        <w:t xml:space="preserve">de </w:t>
      </w:r>
      <w:r w:rsidR="006F1541" w:rsidRPr="006D5F42">
        <w:rPr>
          <w:rFonts w:ascii="Cambria" w:hAnsi="Cambria"/>
        </w:rPr>
        <w:t xml:space="preserve">richtlijn voor </w:t>
      </w:r>
      <w:r w:rsidR="00DC0CAE" w:rsidRPr="006D5F42">
        <w:rPr>
          <w:rFonts w:ascii="Cambria" w:hAnsi="Cambria"/>
        </w:rPr>
        <w:t>DHMR</w:t>
      </w:r>
      <w:r w:rsidR="006F1541" w:rsidRPr="006D5F42">
        <w:rPr>
          <w:rFonts w:ascii="Cambria" w:hAnsi="Cambria"/>
        </w:rPr>
        <w:t xml:space="preserve"> bij TS</w:t>
      </w:r>
      <w:r w:rsidR="00056FF2" w:rsidRPr="006D5F42">
        <w:rPr>
          <w:rFonts w:ascii="Cambria" w:hAnsi="Cambria"/>
        </w:rPr>
        <w:t>B</w:t>
      </w:r>
      <w:r w:rsidR="00BB14D4" w:rsidRPr="006D5F42">
        <w:rPr>
          <w:rFonts w:ascii="Cambria" w:hAnsi="Cambria"/>
        </w:rPr>
        <w:t>.</w:t>
      </w:r>
    </w:p>
    <w:p w14:paraId="0D0F1BAD" w14:textId="77777777" w:rsidR="00BB14D4" w:rsidRDefault="00087FD6" w:rsidP="006D5F42">
      <w:pPr>
        <w:pStyle w:val="Default"/>
        <w:numPr>
          <w:ilvl w:val="0"/>
          <w:numId w:val="6"/>
        </w:numPr>
        <w:ind w:left="709" w:hanging="283"/>
        <w:rPr>
          <w:rFonts w:ascii="Cambria" w:hAnsi="Cambria"/>
        </w:rPr>
      </w:pPr>
      <w:r w:rsidRPr="006D5F42">
        <w:rPr>
          <w:rFonts w:ascii="Cambria" w:hAnsi="Cambria"/>
        </w:rPr>
        <w:t>H</w:t>
      </w:r>
      <w:r w:rsidR="006F1541" w:rsidRPr="006D5F42">
        <w:rPr>
          <w:rFonts w:ascii="Cambria" w:hAnsi="Cambria"/>
        </w:rPr>
        <w:t xml:space="preserve">et toezicht </w:t>
      </w:r>
      <w:r w:rsidRPr="006D5F42">
        <w:rPr>
          <w:rFonts w:ascii="Cambria" w:hAnsi="Cambria"/>
        </w:rPr>
        <w:t xml:space="preserve">houden </w:t>
      </w:r>
      <w:r w:rsidR="006F1541" w:rsidRPr="006D5F42">
        <w:rPr>
          <w:rFonts w:ascii="Cambria" w:hAnsi="Cambria"/>
        </w:rPr>
        <w:t>op de uitvoering van de</w:t>
      </w:r>
      <w:r w:rsidR="00BB14D4" w:rsidRPr="006D5F42">
        <w:rPr>
          <w:rFonts w:ascii="Cambria" w:hAnsi="Cambria"/>
        </w:rPr>
        <w:t xml:space="preserve"> onder 4.</w:t>
      </w:r>
      <w:r w:rsidR="00913E65" w:rsidRPr="006D5F42">
        <w:rPr>
          <w:rFonts w:ascii="Cambria" w:hAnsi="Cambria"/>
        </w:rPr>
        <w:t>1</w:t>
      </w:r>
      <w:r w:rsidR="005A6C9E">
        <w:rPr>
          <w:rFonts w:ascii="Cambria" w:hAnsi="Cambria"/>
        </w:rPr>
        <w:t>.a.</w:t>
      </w:r>
      <w:r w:rsidR="00BB14D4" w:rsidRPr="006D5F42">
        <w:rPr>
          <w:rFonts w:ascii="Cambria" w:hAnsi="Cambria"/>
        </w:rPr>
        <w:t xml:space="preserve"> genoemde</w:t>
      </w:r>
      <w:r w:rsidR="006F1541" w:rsidRPr="006D5F42">
        <w:rPr>
          <w:rFonts w:ascii="Cambria" w:hAnsi="Cambria"/>
        </w:rPr>
        <w:t xml:space="preserve"> richtlijn</w:t>
      </w:r>
      <w:r w:rsidR="00BB14D4" w:rsidRPr="006D5F42">
        <w:rPr>
          <w:rFonts w:ascii="Cambria" w:hAnsi="Cambria"/>
        </w:rPr>
        <w:t>,</w:t>
      </w:r>
      <w:r w:rsidR="006F1541" w:rsidRPr="006D5F42">
        <w:rPr>
          <w:rFonts w:ascii="Cambria" w:hAnsi="Cambria"/>
        </w:rPr>
        <w:t xml:space="preserve"> en de evaluatie </w:t>
      </w:r>
      <w:r w:rsidR="00F24B41" w:rsidRPr="006D5F42">
        <w:rPr>
          <w:rFonts w:ascii="Cambria" w:hAnsi="Cambria"/>
        </w:rPr>
        <w:t>hierv</w:t>
      </w:r>
      <w:r w:rsidR="006F1541" w:rsidRPr="006D5F42">
        <w:rPr>
          <w:rFonts w:ascii="Cambria" w:hAnsi="Cambria"/>
        </w:rPr>
        <w:t>an</w:t>
      </w:r>
      <w:r w:rsidR="00056FF2" w:rsidRPr="006D5F42">
        <w:rPr>
          <w:rFonts w:ascii="Cambria" w:hAnsi="Cambria"/>
        </w:rPr>
        <w:t xml:space="preserve"> </w:t>
      </w:r>
      <w:r w:rsidR="005D00F2" w:rsidRPr="006D5F42">
        <w:rPr>
          <w:rFonts w:ascii="Cambria" w:hAnsi="Cambria"/>
        </w:rPr>
        <w:t>door middel van</w:t>
      </w:r>
      <w:r w:rsidR="00056FF2" w:rsidRPr="006D5F42">
        <w:rPr>
          <w:rFonts w:ascii="Cambria" w:hAnsi="Cambria"/>
        </w:rPr>
        <w:t xml:space="preserve"> interne</w:t>
      </w:r>
      <w:r w:rsidR="00DC0CAE" w:rsidRPr="006D5F42">
        <w:rPr>
          <w:rFonts w:ascii="Cambria" w:hAnsi="Cambria"/>
        </w:rPr>
        <w:t xml:space="preserve"> evaluaties</w:t>
      </w:r>
      <w:r w:rsidR="00BB14D4" w:rsidRPr="006D5F42">
        <w:rPr>
          <w:rFonts w:ascii="Cambria" w:hAnsi="Cambria"/>
        </w:rPr>
        <w:t>, zie artikel 5.</w:t>
      </w:r>
    </w:p>
    <w:p w14:paraId="17A570C0" w14:textId="77777777" w:rsidR="00BB14D4" w:rsidRDefault="00087FD6" w:rsidP="006D5F42">
      <w:pPr>
        <w:pStyle w:val="Default"/>
        <w:numPr>
          <w:ilvl w:val="0"/>
          <w:numId w:val="6"/>
        </w:numPr>
        <w:ind w:left="709" w:hanging="283"/>
        <w:rPr>
          <w:rFonts w:ascii="Cambria" w:hAnsi="Cambria"/>
        </w:rPr>
      </w:pPr>
      <w:r w:rsidRPr="006D5F42">
        <w:rPr>
          <w:rFonts w:ascii="Cambria" w:hAnsi="Cambria"/>
        </w:rPr>
        <w:t>H</w:t>
      </w:r>
      <w:r w:rsidR="006F1541" w:rsidRPr="006D5F42">
        <w:rPr>
          <w:rFonts w:ascii="Cambria" w:hAnsi="Cambria"/>
        </w:rPr>
        <w:t xml:space="preserve">et opstellen van een jaarverslag </w:t>
      </w:r>
      <w:r w:rsidR="00BB14D4" w:rsidRPr="006D5F42">
        <w:rPr>
          <w:rFonts w:ascii="Cambria" w:hAnsi="Cambria"/>
        </w:rPr>
        <w:t>voor</w:t>
      </w:r>
      <w:r w:rsidR="006F1541" w:rsidRPr="006D5F42">
        <w:rPr>
          <w:rFonts w:ascii="Cambria" w:hAnsi="Cambria"/>
        </w:rPr>
        <w:t xml:space="preserve"> de </w:t>
      </w:r>
      <w:r w:rsidR="006F1541" w:rsidRPr="006D5F42">
        <w:rPr>
          <w:rFonts w:ascii="Cambria" w:hAnsi="Cambria"/>
          <w:color w:val="auto"/>
        </w:rPr>
        <w:t>decaan</w:t>
      </w:r>
      <w:r w:rsidR="006F1541" w:rsidRPr="006D5F42">
        <w:rPr>
          <w:rFonts w:ascii="Cambria" w:hAnsi="Cambria"/>
        </w:rPr>
        <w:t>/het MT</w:t>
      </w:r>
      <w:r w:rsidR="00BB14D4" w:rsidRPr="006D5F42">
        <w:rPr>
          <w:rFonts w:ascii="Cambria" w:hAnsi="Cambria"/>
        </w:rPr>
        <w:t>.</w:t>
      </w:r>
    </w:p>
    <w:p w14:paraId="40E3325E" w14:textId="32DA2992" w:rsidR="00BF1A46" w:rsidRPr="006D5F42" w:rsidRDefault="00087FD6" w:rsidP="006D5F42">
      <w:pPr>
        <w:pStyle w:val="Default"/>
        <w:numPr>
          <w:ilvl w:val="0"/>
          <w:numId w:val="6"/>
        </w:numPr>
        <w:ind w:left="709" w:hanging="283"/>
        <w:rPr>
          <w:rFonts w:ascii="Cambria" w:hAnsi="Cambria"/>
        </w:rPr>
      </w:pPr>
      <w:r w:rsidRPr="006D5F42">
        <w:rPr>
          <w:rFonts w:ascii="Cambria" w:hAnsi="Cambria"/>
        </w:rPr>
        <w:lastRenderedPageBreak/>
        <w:t>H</w:t>
      </w:r>
      <w:r w:rsidR="006F1541" w:rsidRPr="006D5F42">
        <w:rPr>
          <w:rFonts w:ascii="Cambria" w:hAnsi="Cambria"/>
        </w:rPr>
        <w:t xml:space="preserve">et uitbrengen van </w:t>
      </w:r>
      <w:r w:rsidR="00242E0E" w:rsidRPr="006D5F42">
        <w:rPr>
          <w:rFonts w:ascii="Cambria" w:hAnsi="Cambria"/>
        </w:rPr>
        <w:t>gevraagd en ongevraagd</w:t>
      </w:r>
      <w:r w:rsidR="00DC0CAE" w:rsidRPr="006D5F42">
        <w:rPr>
          <w:rFonts w:ascii="Cambria" w:hAnsi="Cambria"/>
        </w:rPr>
        <w:t xml:space="preserve"> </w:t>
      </w:r>
      <w:r w:rsidR="006F1541" w:rsidRPr="006D5F42">
        <w:rPr>
          <w:rFonts w:ascii="Cambria" w:hAnsi="Cambria"/>
        </w:rPr>
        <w:t>advies</w:t>
      </w:r>
      <w:r w:rsidR="00DC0CAE" w:rsidRPr="006D5F42">
        <w:rPr>
          <w:rFonts w:ascii="Cambria" w:hAnsi="Cambria"/>
        </w:rPr>
        <w:t xml:space="preserve"> aan </w:t>
      </w:r>
      <w:r w:rsidR="00F24B41" w:rsidRPr="006D5F42">
        <w:rPr>
          <w:rFonts w:ascii="Cambria" w:hAnsi="Cambria"/>
        </w:rPr>
        <w:t>de decaan/</w:t>
      </w:r>
      <w:r w:rsidR="00DC0CAE" w:rsidRPr="006D5F42">
        <w:rPr>
          <w:rFonts w:ascii="Cambria" w:hAnsi="Cambria"/>
        </w:rPr>
        <w:t>het MT</w:t>
      </w:r>
      <w:r w:rsidR="006F1541" w:rsidRPr="006D5F42">
        <w:rPr>
          <w:rFonts w:ascii="Cambria" w:hAnsi="Cambria"/>
        </w:rPr>
        <w:t xml:space="preserve"> </w:t>
      </w:r>
      <w:r w:rsidR="005D00F2" w:rsidRPr="006D5F42">
        <w:rPr>
          <w:rFonts w:ascii="Cambria" w:hAnsi="Cambria"/>
        </w:rPr>
        <w:t>over</w:t>
      </w:r>
      <w:r w:rsidR="006F1541" w:rsidRPr="006D5F42">
        <w:rPr>
          <w:rFonts w:ascii="Cambria" w:hAnsi="Cambria"/>
        </w:rPr>
        <w:t xml:space="preserve"> </w:t>
      </w:r>
      <w:r w:rsidR="00242E0E" w:rsidRPr="006D5F42">
        <w:rPr>
          <w:rFonts w:ascii="Cambria" w:hAnsi="Cambria"/>
        </w:rPr>
        <w:t xml:space="preserve">aspecten van de wetenschapsbeoefening die verband houden met </w:t>
      </w:r>
      <w:r w:rsidR="00DC0CAE" w:rsidRPr="006D5F42">
        <w:rPr>
          <w:rFonts w:ascii="Cambria" w:hAnsi="Cambria"/>
        </w:rPr>
        <w:t>DHMR</w:t>
      </w:r>
      <w:r w:rsidR="005D00F2" w:rsidRPr="006D5F42">
        <w:rPr>
          <w:rFonts w:ascii="Cambria" w:hAnsi="Cambria"/>
        </w:rPr>
        <w:t xml:space="preserve">. </w:t>
      </w:r>
      <w:r w:rsidR="00913E65" w:rsidRPr="006D5F42">
        <w:rPr>
          <w:rFonts w:ascii="Cambria" w:hAnsi="Cambria"/>
        </w:rPr>
        <w:t>Dit kan b</w:t>
      </w:r>
      <w:r w:rsidR="005D00F2" w:rsidRPr="006D5F42">
        <w:rPr>
          <w:rFonts w:ascii="Cambria" w:hAnsi="Cambria"/>
        </w:rPr>
        <w:t xml:space="preserve">ijvoorbeeld </w:t>
      </w:r>
      <w:r w:rsidR="00913E65" w:rsidRPr="006D5F42">
        <w:rPr>
          <w:rFonts w:ascii="Cambria" w:hAnsi="Cambria"/>
        </w:rPr>
        <w:t>betrekking hebben op</w:t>
      </w:r>
      <w:r w:rsidR="00242E0E" w:rsidRPr="006D5F42">
        <w:rPr>
          <w:rFonts w:ascii="Cambria" w:hAnsi="Cambria"/>
        </w:rPr>
        <w:t xml:space="preserve"> </w:t>
      </w:r>
      <w:r w:rsidR="00913E65" w:rsidRPr="006D5F42">
        <w:rPr>
          <w:rFonts w:ascii="Cambria" w:hAnsi="Cambria"/>
        </w:rPr>
        <w:t xml:space="preserve">zaken als: </w:t>
      </w:r>
      <w:r w:rsidR="00BB14D4" w:rsidRPr="006D5F42">
        <w:rPr>
          <w:rFonts w:ascii="Cambria" w:hAnsi="Cambria"/>
        </w:rPr>
        <w:t>i</w:t>
      </w:r>
      <w:r w:rsidR="00390D5A" w:rsidRPr="006D5F42">
        <w:rPr>
          <w:rFonts w:ascii="Cambria" w:hAnsi="Cambria"/>
        </w:rPr>
        <w:t>nfrastructuur (IT/fysiek) t.b.v. dataopslag</w:t>
      </w:r>
      <w:r w:rsidR="00BB14D4" w:rsidRPr="006D5F42">
        <w:rPr>
          <w:rFonts w:ascii="Cambria" w:hAnsi="Cambria"/>
        </w:rPr>
        <w:t xml:space="preserve">; </w:t>
      </w:r>
      <w:r w:rsidR="00F65A58" w:rsidRPr="006D5F42">
        <w:rPr>
          <w:rFonts w:ascii="Cambria" w:hAnsi="Cambria"/>
        </w:rPr>
        <w:t>j</w:t>
      </w:r>
      <w:r w:rsidR="00390D5A" w:rsidRPr="006D5F42">
        <w:rPr>
          <w:rFonts w:ascii="Cambria" w:hAnsi="Cambria"/>
        </w:rPr>
        <w:t xml:space="preserve">uridische aspecten </w:t>
      </w:r>
      <w:r w:rsidRPr="006D5F42">
        <w:rPr>
          <w:rFonts w:ascii="Cambria" w:hAnsi="Cambria"/>
        </w:rPr>
        <w:t xml:space="preserve">van </w:t>
      </w:r>
      <w:r w:rsidR="00390D5A" w:rsidRPr="006D5F42">
        <w:rPr>
          <w:rFonts w:ascii="Cambria" w:hAnsi="Cambria"/>
        </w:rPr>
        <w:t>databeheer</w:t>
      </w:r>
      <w:r w:rsidR="00BB14D4" w:rsidRPr="006D5F42">
        <w:rPr>
          <w:rFonts w:ascii="Cambria" w:hAnsi="Cambria"/>
        </w:rPr>
        <w:t>; t</w:t>
      </w:r>
      <w:r w:rsidR="00390D5A" w:rsidRPr="006D5F42">
        <w:rPr>
          <w:rFonts w:ascii="Cambria" w:hAnsi="Cambria"/>
        </w:rPr>
        <w:t xml:space="preserve">raining in </w:t>
      </w:r>
      <w:r w:rsidRPr="006D5F42">
        <w:rPr>
          <w:rFonts w:ascii="Cambria" w:hAnsi="Cambria"/>
        </w:rPr>
        <w:t xml:space="preserve">de </w:t>
      </w:r>
      <w:r w:rsidR="00390D5A" w:rsidRPr="006D5F42">
        <w:rPr>
          <w:rFonts w:ascii="Cambria" w:hAnsi="Cambria"/>
        </w:rPr>
        <w:t xml:space="preserve">beginselen van </w:t>
      </w:r>
      <w:r w:rsidRPr="006D5F42">
        <w:rPr>
          <w:rFonts w:ascii="Cambria" w:hAnsi="Cambria"/>
        </w:rPr>
        <w:t xml:space="preserve">de </w:t>
      </w:r>
      <w:r w:rsidR="00390D5A" w:rsidRPr="006D5F42">
        <w:rPr>
          <w:rFonts w:ascii="Cambria" w:hAnsi="Cambria"/>
        </w:rPr>
        <w:t>gedragscode wetenschapsbeoefening</w:t>
      </w:r>
      <w:r w:rsidR="00BB14D4" w:rsidRPr="006D5F42">
        <w:rPr>
          <w:rFonts w:ascii="Cambria" w:hAnsi="Cambria"/>
        </w:rPr>
        <w:t xml:space="preserve">; </w:t>
      </w:r>
      <w:r w:rsidR="00BB14D4" w:rsidRPr="006D5F42">
        <w:rPr>
          <w:rFonts w:ascii="Cambria" w:hAnsi="Cambria"/>
          <w:color w:val="auto"/>
        </w:rPr>
        <w:t>e</w:t>
      </w:r>
      <w:r w:rsidR="00390D5A" w:rsidRPr="006D5F42">
        <w:rPr>
          <w:rFonts w:ascii="Cambria" w:hAnsi="Cambria"/>
          <w:color w:val="auto"/>
        </w:rPr>
        <w:t>recode</w:t>
      </w:r>
      <w:r w:rsidR="00BB14D4" w:rsidRPr="006D5F42">
        <w:rPr>
          <w:rFonts w:ascii="Cambria" w:hAnsi="Cambria"/>
          <w:color w:val="auto"/>
        </w:rPr>
        <w:t xml:space="preserve"> voor de wetenschapsbeoefening; onderzoekscultuur en –ethiek.</w:t>
      </w:r>
    </w:p>
    <w:p w14:paraId="6F743412" w14:textId="57C0090A" w:rsidR="00C40030" w:rsidRDefault="00625580" w:rsidP="006D5F4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28062F">
        <w:rPr>
          <w:rFonts w:ascii="Cambria" w:hAnsi="Cambria"/>
          <w:sz w:val="24"/>
          <w:szCs w:val="24"/>
        </w:rPr>
        <w:t xml:space="preserve">De Commissie richt haar activiteiten op het domein van wetenschappelijk onderzoek, </w:t>
      </w:r>
      <w:r w:rsidR="00E36B1A" w:rsidRPr="0028062F">
        <w:rPr>
          <w:rFonts w:ascii="Cambria" w:hAnsi="Cambria"/>
          <w:sz w:val="24"/>
          <w:szCs w:val="24"/>
        </w:rPr>
        <w:t>dat bijv</w:t>
      </w:r>
      <w:r w:rsidR="00AE2A20" w:rsidRPr="0028062F">
        <w:rPr>
          <w:rFonts w:ascii="Cambria" w:hAnsi="Cambria"/>
          <w:sz w:val="24"/>
          <w:szCs w:val="24"/>
        </w:rPr>
        <w:t>oorbeeld</w:t>
      </w:r>
      <w:r w:rsidR="00E36B1A" w:rsidRPr="0028062F">
        <w:rPr>
          <w:rFonts w:ascii="Cambria" w:hAnsi="Cambria"/>
          <w:sz w:val="24"/>
          <w:szCs w:val="24"/>
        </w:rPr>
        <w:t xml:space="preserve"> in de vorm van artikelen in </w:t>
      </w:r>
      <w:r w:rsidRPr="0028062F">
        <w:rPr>
          <w:rFonts w:ascii="Cambria" w:hAnsi="Cambria"/>
          <w:sz w:val="24"/>
          <w:szCs w:val="24"/>
        </w:rPr>
        <w:t>wetenschappelijk</w:t>
      </w:r>
      <w:r w:rsidR="00F24B41" w:rsidRPr="0028062F">
        <w:rPr>
          <w:rFonts w:ascii="Cambria" w:hAnsi="Cambria"/>
          <w:sz w:val="24"/>
          <w:szCs w:val="24"/>
        </w:rPr>
        <w:t>e</w:t>
      </w:r>
      <w:r w:rsidRPr="0028062F">
        <w:rPr>
          <w:rFonts w:ascii="Cambria" w:hAnsi="Cambria"/>
          <w:sz w:val="24"/>
          <w:szCs w:val="24"/>
        </w:rPr>
        <w:t xml:space="preserve"> tijdschrift</w:t>
      </w:r>
      <w:r w:rsidR="00F24B41" w:rsidRPr="0028062F">
        <w:rPr>
          <w:rFonts w:ascii="Cambria" w:hAnsi="Cambria"/>
          <w:sz w:val="24"/>
          <w:szCs w:val="24"/>
        </w:rPr>
        <w:t>en</w:t>
      </w:r>
      <w:r w:rsidR="00AE2A20" w:rsidRPr="0028062F">
        <w:rPr>
          <w:rFonts w:ascii="Cambria" w:hAnsi="Cambria"/>
          <w:sz w:val="24"/>
          <w:szCs w:val="24"/>
        </w:rPr>
        <w:t xml:space="preserve">, boeken, boekhoofdstukken en </w:t>
      </w:r>
      <w:r w:rsidR="00C40030">
        <w:rPr>
          <w:rFonts w:ascii="Cambria" w:hAnsi="Cambria"/>
          <w:sz w:val="24"/>
          <w:szCs w:val="24"/>
        </w:rPr>
        <w:t>proefschriften</w:t>
      </w:r>
      <w:r w:rsidR="004F1C3D" w:rsidRPr="0028062F">
        <w:rPr>
          <w:rFonts w:ascii="Cambria" w:hAnsi="Cambria"/>
          <w:sz w:val="24"/>
          <w:szCs w:val="24"/>
        </w:rPr>
        <w:t xml:space="preserve"> </w:t>
      </w:r>
      <w:r w:rsidR="00C40030">
        <w:rPr>
          <w:rFonts w:ascii="Cambria" w:hAnsi="Cambria"/>
          <w:sz w:val="24"/>
          <w:szCs w:val="24"/>
        </w:rPr>
        <w:t xml:space="preserve">wordt </w:t>
      </w:r>
      <w:r w:rsidR="004F1C3D" w:rsidRPr="0028062F">
        <w:rPr>
          <w:rFonts w:ascii="Cambria" w:hAnsi="Cambria"/>
          <w:sz w:val="24"/>
          <w:szCs w:val="24"/>
        </w:rPr>
        <w:t>gepubliceerd</w:t>
      </w:r>
      <w:r w:rsidRPr="0028062F">
        <w:rPr>
          <w:rFonts w:ascii="Cambria" w:hAnsi="Cambria"/>
          <w:sz w:val="24"/>
          <w:szCs w:val="24"/>
        </w:rPr>
        <w:t>.</w:t>
      </w:r>
    </w:p>
    <w:p w14:paraId="5C45F037" w14:textId="6D278AE7" w:rsidR="00087FD6" w:rsidRPr="00602648" w:rsidRDefault="00B46697" w:rsidP="0060264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Cs/>
        </w:rPr>
      </w:pPr>
      <w:r w:rsidRPr="00602648">
        <w:rPr>
          <w:rFonts w:ascii="Cambria" w:hAnsi="Cambria"/>
          <w:sz w:val="24"/>
          <w:szCs w:val="24"/>
        </w:rPr>
        <w:t>Advisering met betrekking tot de ethische aspecten van nieuw uit te voeren onderzoek en de beoordeling van onderzoeksvoorstellen behoren niet tot de taakstelling van de Commissie</w:t>
      </w:r>
      <w:r w:rsidRPr="00602648">
        <w:rPr>
          <w:rFonts w:asciiTheme="majorHAnsi" w:hAnsiTheme="majorHAnsi"/>
        </w:rPr>
        <w:t>.</w:t>
      </w:r>
      <w:r w:rsidR="00C40030" w:rsidRPr="00602648">
        <w:rPr>
          <w:rFonts w:asciiTheme="majorHAnsi" w:hAnsiTheme="majorHAnsi"/>
        </w:rPr>
        <w:t xml:space="preserve"> </w:t>
      </w:r>
      <w:r w:rsidR="00C40030" w:rsidRPr="00602648">
        <w:rPr>
          <w:rFonts w:asciiTheme="majorHAnsi" w:hAnsiTheme="majorHAnsi"/>
          <w:bCs/>
          <w:sz w:val="24"/>
          <w:szCs w:val="24"/>
        </w:rPr>
        <w:t>Advisering met betrekking tot de inhoud van onderzoek bij TSB valt eveneens buiten de taakstelling van de Commissie.</w:t>
      </w:r>
    </w:p>
    <w:p w14:paraId="021D5A08" w14:textId="77777777" w:rsidR="00C40030" w:rsidRPr="00B862FF" w:rsidRDefault="00C40030" w:rsidP="00602648">
      <w:pPr>
        <w:pStyle w:val="Default"/>
        <w:ind w:left="360"/>
        <w:rPr>
          <w:rFonts w:ascii="Cambria" w:hAnsi="Cambria"/>
          <w:b/>
          <w:bCs/>
        </w:rPr>
      </w:pPr>
    </w:p>
    <w:p w14:paraId="3B139589" w14:textId="77777777" w:rsidR="004854BA" w:rsidRPr="00B862FF" w:rsidRDefault="00390D5A" w:rsidP="00056FF2">
      <w:pPr>
        <w:pStyle w:val="Default"/>
        <w:rPr>
          <w:rFonts w:ascii="Cambria" w:hAnsi="Cambria"/>
          <w:b/>
          <w:bCs/>
        </w:rPr>
      </w:pPr>
      <w:r w:rsidRPr="00B862FF">
        <w:rPr>
          <w:rFonts w:ascii="Cambria" w:hAnsi="Cambria"/>
          <w:b/>
          <w:bCs/>
        </w:rPr>
        <w:t xml:space="preserve">Artikel </w:t>
      </w:r>
      <w:r w:rsidR="00056FF2" w:rsidRPr="00B862FF">
        <w:rPr>
          <w:rFonts w:ascii="Cambria" w:hAnsi="Cambria"/>
          <w:b/>
          <w:bCs/>
        </w:rPr>
        <w:t>5</w:t>
      </w:r>
      <w:r w:rsidR="00BB14D4" w:rsidRPr="00B862FF">
        <w:rPr>
          <w:rFonts w:ascii="Cambria" w:hAnsi="Cambria"/>
          <w:b/>
          <w:bCs/>
        </w:rPr>
        <w:t>:</w:t>
      </w:r>
      <w:r w:rsidRPr="00B862FF">
        <w:rPr>
          <w:rFonts w:ascii="Cambria" w:hAnsi="Cambria"/>
          <w:b/>
          <w:bCs/>
        </w:rPr>
        <w:t xml:space="preserve"> </w:t>
      </w:r>
      <w:r w:rsidR="00584442" w:rsidRPr="00B862FF">
        <w:rPr>
          <w:rFonts w:ascii="Cambria" w:hAnsi="Cambria"/>
          <w:b/>
          <w:bCs/>
        </w:rPr>
        <w:t>Evaluatie van onderzoek</w:t>
      </w:r>
    </w:p>
    <w:p w14:paraId="795C7E30" w14:textId="77777777" w:rsidR="00C40030" w:rsidRDefault="00C40030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Evaluatie vindt alleen plaats over publicaties waarvan TSB-onderzoekers 1</w:t>
      </w:r>
      <w:r w:rsidRPr="00602648">
        <w:rPr>
          <w:rFonts w:ascii="Cambria" w:hAnsi="Cambria"/>
          <w:color w:val="auto"/>
          <w:vertAlign w:val="superscript"/>
        </w:rPr>
        <w:t>e</w:t>
      </w:r>
      <w:r>
        <w:rPr>
          <w:rFonts w:ascii="Cambria" w:hAnsi="Cambria"/>
          <w:color w:val="auto"/>
        </w:rPr>
        <w:t xml:space="preserve"> auteur zijn. </w:t>
      </w:r>
    </w:p>
    <w:p w14:paraId="6C61EAF9" w14:textId="37DB74A3" w:rsidR="00C40030" w:rsidRDefault="00C40030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De evaluatie behorend bij deze versie van het reglement heeft betrekking op publicaties d</w:t>
      </w:r>
      <w:r w:rsidR="00002F54">
        <w:rPr>
          <w:rFonts w:ascii="Cambria" w:hAnsi="Cambria"/>
          <w:color w:val="auto"/>
        </w:rPr>
        <w:t xml:space="preserve">ie in </w:t>
      </w:r>
      <w:r w:rsidR="000B3348">
        <w:rPr>
          <w:rFonts w:ascii="Cambria" w:hAnsi="Cambria"/>
          <w:color w:val="auto"/>
        </w:rPr>
        <w:t>de kalenderjaren</w:t>
      </w:r>
      <w:r w:rsidR="00002F54">
        <w:rPr>
          <w:rFonts w:ascii="Cambria" w:hAnsi="Cambria"/>
          <w:color w:val="auto"/>
        </w:rPr>
        <w:t xml:space="preserve"> </w:t>
      </w:r>
      <w:r w:rsidR="000B3348">
        <w:rPr>
          <w:rFonts w:ascii="Cambria" w:hAnsi="Cambria"/>
          <w:color w:val="auto"/>
        </w:rPr>
        <w:t xml:space="preserve">2015 </w:t>
      </w:r>
      <w:r w:rsidR="00002F54">
        <w:rPr>
          <w:rFonts w:ascii="Cambria" w:hAnsi="Cambria"/>
          <w:color w:val="auto"/>
        </w:rPr>
        <w:t xml:space="preserve">zijn verschenen in </w:t>
      </w:r>
      <w:r w:rsidR="000B3348">
        <w:rPr>
          <w:rFonts w:ascii="Cambria" w:hAnsi="Cambria"/>
          <w:color w:val="auto"/>
        </w:rPr>
        <w:t>definitieve versie</w:t>
      </w:r>
      <w:r w:rsidR="00002F54">
        <w:rPr>
          <w:rFonts w:ascii="Cambria" w:hAnsi="Cambria"/>
          <w:color w:val="auto"/>
        </w:rPr>
        <w:t xml:space="preserve"> </w:t>
      </w:r>
      <w:r w:rsidR="00E351A2">
        <w:rPr>
          <w:rFonts w:ascii="Cambria" w:hAnsi="Cambria"/>
          <w:color w:val="auto"/>
        </w:rPr>
        <w:t xml:space="preserve">en waarvoor data zijn gebruikt </w:t>
      </w:r>
      <w:r w:rsidR="00002F54">
        <w:rPr>
          <w:rFonts w:ascii="Cambria" w:hAnsi="Cambria"/>
          <w:color w:val="auto"/>
        </w:rPr>
        <w:t>(meestal betreft dit een publicatie op papier, maar in sommige gevallen betreft het een ele</w:t>
      </w:r>
      <w:r w:rsidR="000B3348">
        <w:rPr>
          <w:rFonts w:ascii="Cambria" w:hAnsi="Cambria"/>
          <w:color w:val="auto"/>
        </w:rPr>
        <w:t>k</w:t>
      </w:r>
      <w:r w:rsidR="00002F54">
        <w:rPr>
          <w:rFonts w:ascii="Cambria" w:hAnsi="Cambria"/>
          <w:color w:val="auto"/>
        </w:rPr>
        <w:t>tronisch document).</w:t>
      </w:r>
    </w:p>
    <w:p w14:paraId="03805643" w14:textId="77777777" w:rsidR="00087FD6" w:rsidRDefault="00087FD6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BF1A46">
        <w:rPr>
          <w:rFonts w:ascii="Cambria" w:hAnsi="Cambria"/>
          <w:color w:val="auto"/>
        </w:rPr>
        <w:t xml:space="preserve">Bij </w:t>
      </w:r>
      <w:r w:rsidR="0053750D" w:rsidRPr="00BF1A46">
        <w:rPr>
          <w:rFonts w:ascii="Cambria" w:hAnsi="Cambria"/>
          <w:color w:val="auto"/>
        </w:rPr>
        <w:t xml:space="preserve">de </w:t>
      </w:r>
      <w:r w:rsidR="00584442" w:rsidRPr="00BF1A46">
        <w:rPr>
          <w:rFonts w:ascii="Cambria" w:hAnsi="Cambria"/>
          <w:color w:val="auto"/>
        </w:rPr>
        <w:t xml:space="preserve">evaluatie van onderzoek gaat </w:t>
      </w:r>
      <w:r w:rsidRPr="00BF1A46">
        <w:rPr>
          <w:rFonts w:ascii="Cambria" w:hAnsi="Cambria"/>
          <w:color w:val="auto"/>
        </w:rPr>
        <w:t xml:space="preserve">de Commissie </w:t>
      </w:r>
      <w:r w:rsidR="00002F54">
        <w:rPr>
          <w:rFonts w:ascii="Cambria" w:hAnsi="Cambria"/>
          <w:color w:val="auto"/>
        </w:rPr>
        <w:t xml:space="preserve">middels een gesprek aan de hand van een checklist </w:t>
      </w:r>
      <w:r w:rsidR="00584442" w:rsidRPr="00BF1A46">
        <w:rPr>
          <w:rFonts w:ascii="Cambria" w:hAnsi="Cambria"/>
          <w:color w:val="auto"/>
        </w:rPr>
        <w:t xml:space="preserve">na </w:t>
      </w:r>
      <w:r w:rsidRPr="00BF1A46">
        <w:rPr>
          <w:rFonts w:ascii="Cambria" w:hAnsi="Cambria"/>
          <w:color w:val="auto"/>
        </w:rPr>
        <w:t>of</w:t>
      </w:r>
      <w:r w:rsidR="00584442" w:rsidRPr="00BF1A46">
        <w:rPr>
          <w:rFonts w:ascii="Cambria" w:hAnsi="Cambria"/>
          <w:color w:val="auto"/>
        </w:rPr>
        <w:t>:</w:t>
      </w:r>
      <w:r w:rsidRPr="00BF1A46">
        <w:rPr>
          <w:rFonts w:ascii="Cambria" w:hAnsi="Cambria"/>
          <w:color w:val="auto"/>
        </w:rPr>
        <w:t xml:space="preserve"> </w:t>
      </w:r>
      <w:r w:rsidR="00584442" w:rsidRPr="00BF1A46">
        <w:rPr>
          <w:rFonts w:ascii="Cambria" w:hAnsi="Cambria"/>
          <w:color w:val="auto"/>
        </w:rPr>
        <w:t xml:space="preserve">(1) de betreffende onderzoeker </w:t>
      </w:r>
      <w:r w:rsidRPr="00BF1A46">
        <w:rPr>
          <w:rFonts w:ascii="Cambria" w:hAnsi="Cambria"/>
          <w:color w:val="auto"/>
        </w:rPr>
        <w:t xml:space="preserve">de richtlijn voor </w:t>
      </w:r>
      <w:r w:rsidR="00584442" w:rsidRPr="00BF1A46">
        <w:rPr>
          <w:rFonts w:ascii="Cambria" w:hAnsi="Cambria"/>
          <w:color w:val="auto"/>
        </w:rPr>
        <w:t>DHMR van</w:t>
      </w:r>
      <w:r w:rsidRPr="00BF1A46">
        <w:rPr>
          <w:rFonts w:ascii="Cambria" w:hAnsi="Cambria"/>
          <w:color w:val="auto"/>
        </w:rPr>
        <w:t xml:space="preserve"> TSB </w:t>
      </w:r>
      <w:r w:rsidR="00584442" w:rsidRPr="00BF1A46">
        <w:rPr>
          <w:rFonts w:ascii="Cambria" w:hAnsi="Cambria"/>
          <w:color w:val="auto"/>
        </w:rPr>
        <w:t xml:space="preserve">heeft </w:t>
      </w:r>
      <w:r w:rsidRPr="00BF1A46">
        <w:rPr>
          <w:rFonts w:ascii="Cambria" w:hAnsi="Cambria"/>
          <w:color w:val="auto"/>
        </w:rPr>
        <w:t>opgevolgd</w:t>
      </w:r>
      <w:r w:rsidR="007C2440" w:rsidRPr="00BF1A46">
        <w:rPr>
          <w:rFonts w:ascii="Cambria" w:hAnsi="Cambria"/>
          <w:color w:val="auto"/>
        </w:rPr>
        <w:t xml:space="preserve">; en (2) hoe </w:t>
      </w:r>
      <w:r w:rsidR="00932A1C" w:rsidRPr="00BF1A46">
        <w:rPr>
          <w:rFonts w:ascii="Cambria" w:hAnsi="Cambria"/>
          <w:color w:val="auto"/>
        </w:rPr>
        <w:t>de</w:t>
      </w:r>
      <w:r w:rsidR="00C31285" w:rsidRPr="00BF1A46">
        <w:rPr>
          <w:rFonts w:ascii="Cambria" w:hAnsi="Cambria"/>
          <w:color w:val="auto"/>
        </w:rPr>
        <w:t xml:space="preserve"> voor </w:t>
      </w:r>
      <w:r w:rsidR="00BF1A46" w:rsidRPr="00BF1A46">
        <w:rPr>
          <w:rFonts w:ascii="Cambria" w:hAnsi="Cambria"/>
          <w:color w:val="auto"/>
        </w:rPr>
        <w:t xml:space="preserve">de dataverwerking </w:t>
      </w:r>
      <w:r w:rsidR="00C31285" w:rsidRPr="00BF1A46">
        <w:rPr>
          <w:rFonts w:ascii="Cambria" w:hAnsi="Cambria"/>
          <w:color w:val="auto"/>
        </w:rPr>
        <w:t xml:space="preserve">verantwoordelijke </w:t>
      </w:r>
      <w:r w:rsidR="0053750D" w:rsidRPr="00BF1A46">
        <w:rPr>
          <w:rFonts w:ascii="Cambria" w:hAnsi="Cambria"/>
          <w:color w:val="auto"/>
        </w:rPr>
        <w:t>onderzoeker</w:t>
      </w:r>
      <w:r w:rsidR="00BF1A46" w:rsidRPr="00BF1A46">
        <w:rPr>
          <w:rFonts w:ascii="Cambria" w:hAnsi="Cambria"/>
          <w:color w:val="auto"/>
        </w:rPr>
        <w:t>(s)</w:t>
      </w:r>
      <w:r w:rsidR="0053750D" w:rsidRPr="00BF1A46">
        <w:rPr>
          <w:rFonts w:ascii="Cambria" w:hAnsi="Cambria"/>
          <w:color w:val="auto"/>
        </w:rPr>
        <w:t xml:space="preserve"> de </w:t>
      </w:r>
      <w:r w:rsidR="00932A1C" w:rsidRPr="00BF1A46">
        <w:rPr>
          <w:rFonts w:ascii="Cambria" w:hAnsi="Cambria"/>
          <w:color w:val="auto"/>
        </w:rPr>
        <w:t xml:space="preserve">data behorend bij een bepaald artikel </w:t>
      </w:r>
      <w:r w:rsidR="00E237EB" w:rsidRPr="00BF1A46">
        <w:rPr>
          <w:rFonts w:ascii="Cambria" w:hAnsi="Cambria"/>
          <w:color w:val="auto"/>
        </w:rPr>
        <w:t xml:space="preserve">heeft </w:t>
      </w:r>
      <w:r w:rsidR="00BF1A46" w:rsidRPr="00BF1A46">
        <w:rPr>
          <w:rFonts w:ascii="Cambria" w:hAnsi="Cambria"/>
          <w:color w:val="auto"/>
        </w:rPr>
        <w:t>(hebben) ver</w:t>
      </w:r>
      <w:r w:rsidR="00932A1C" w:rsidRPr="00BF1A46">
        <w:rPr>
          <w:rFonts w:ascii="Cambria" w:hAnsi="Cambria"/>
          <w:color w:val="auto"/>
        </w:rPr>
        <w:t>werkt</w:t>
      </w:r>
      <w:r w:rsidR="00BF1A46" w:rsidRPr="00BF1A46">
        <w:rPr>
          <w:rFonts w:ascii="Cambria" w:hAnsi="Cambria"/>
          <w:color w:val="auto"/>
        </w:rPr>
        <w:t>, gedocumenteerd, en opgeslagen</w:t>
      </w:r>
      <w:r w:rsidR="00F24B41">
        <w:rPr>
          <w:rFonts w:ascii="Cambria" w:hAnsi="Cambria"/>
          <w:color w:val="auto"/>
        </w:rPr>
        <w:t>.</w:t>
      </w:r>
    </w:p>
    <w:p w14:paraId="78E9F32F" w14:textId="791668F4" w:rsidR="00200ED4" w:rsidRPr="00C25CBD" w:rsidRDefault="00584442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C25CBD">
        <w:rPr>
          <w:rFonts w:ascii="Cambria" w:hAnsi="Cambria"/>
          <w:color w:val="auto"/>
        </w:rPr>
        <w:t>Het aantal evaluaties ligt op</w:t>
      </w:r>
      <w:r w:rsidR="008535EF">
        <w:rPr>
          <w:rFonts w:ascii="Cambria" w:hAnsi="Cambria"/>
          <w:color w:val="auto"/>
        </w:rPr>
        <w:t xml:space="preserve"> 1</w:t>
      </w:r>
      <w:r w:rsidR="0012695A">
        <w:rPr>
          <w:rFonts w:ascii="Cambria" w:hAnsi="Cambria"/>
          <w:color w:val="auto"/>
        </w:rPr>
        <w:t>8</w:t>
      </w:r>
      <w:r w:rsidR="008535EF">
        <w:rPr>
          <w:rFonts w:ascii="Cambria" w:hAnsi="Cambria"/>
          <w:color w:val="auto"/>
        </w:rPr>
        <w:t xml:space="preserve"> tot </w:t>
      </w:r>
      <w:r w:rsidR="00002F54">
        <w:rPr>
          <w:rFonts w:ascii="Cambria" w:hAnsi="Cambria"/>
          <w:color w:val="auto"/>
        </w:rPr>
        <w:t>20</w:t>
      </w:r>
      <w:r w:rsidR="008535EF">
        <w:rPr>
          <w:rFonts w:ascii="Cambria" w:hAnsi="Cambria"/>
          <w:color w:val="auto"/>
        </w:rPr>
        <w:t xml:space="preserve"> </w:t>
      </w:r>
      <w:r w:rsidR="00056FF2" w:rsidRPr="00C25CBD">
        <w:rPr>
          <w:rFonts w:ascii="Cambria" w:hAnsi="Cambria"/>
          <w:color w:val="auto"/>
        </w:rPr>
        <w:t xml:space="preserve">van </w:t>
      </w:r>
      <w:r w:rsidR="00BB14D4" w:rsidRPr="00C25CBD">
        <w:rPr>
          <w:rFonts w:ascii="Cambria" w:hAnsi="Cambria"/>
          <w:color w:val="auto"/>
        </w:rPr>
        <w:t xml:space="preserve">de </w:t>
      </w:r>
      <w:r w:rsidR="00087FD6" w:rsidRPr="00C25CBD">
        <w:rPr>
          <w:rFonts w:ascii="Cambria" w:hAnsi="Cambria"/>
          <w:color w:val="auto"/>
        </w:rPr>
        <w:t xml:space="preserve">door onderzoekers </w:t>
      </w:r>
      <w:r w:rsidR="00470ABD">
        <w:rPr>
          <w:rFonts w:ascii="Cambria" w:hAnsi="Cambria"/>
          <w:color w:val="auto"/>
        </w:rPr>
        <w:t xml:space="preserve">in naam </w:t>
      </w:r>
      <w:r w:rsidR="005D00F2" w:rsidRPr="00C25CBD">
        <w:rPr>
          <w:rFonts w:ascii="Cambria" w:hAnsi="Cambria"/>
          <w:color w:val="auto"/>
        </w:rPr>
        <w:t xml:space="preserve">van TSB </w:t>
      </w:r>
      <w:r w:rsidR="00056FF2" w:rsidRPr="00C25CBD">
        <w:rPr>
          <w:rFonts w:ascii="Cambria" w:hAnsi="Cambria"/>
          <w:color w:val="auto"/>
        </w:rPr>
        <w:t>ge</w:t>
      </w:r>
      <w:r w:rsidR="00DA7DF3" w:rsidRPr="00C25CBD">
        <w:rPr>
          <w:rFonts w:ascii="Cambria" w:hAnsi="Cambria"/>
          <w:color w:val="auto"/>
        </w:rPr>
        <w:t>schreven</w:t>
      </w:r>
      <w:r w:rsidR="00056FF2" w:rsidRPr="00C25CBD">
        <w:rPr>
          <w:rFonts w:ascii="Cambria" w:hAnsi="Cambria"/>
          <w:color w:val="auto"/>
        </w:rPr>
        <w:t xml:space="preserve"> artikelen</w:t>
      </w:r>
      <w:r w:rsidR="00415723" w:rsidRPr="00C25CBD">
        <w:rPr>
          <w:rFonts w:ascii="Cambria" w:hAnsi="Cambria"/>
          <w:color w:val="auto"/>
        </w:rPr>
        <w:t>/hoofdstukken</w:t>
      </w:r>
      <w:r w:rsidR="00056FF2" w:rsidRPr="00C25CBD">
        <w:rPr>
          <w:rFonts w:ascii="Cambria" w:hAnsi="Cambria"/>
          <w:color w:val="auto"/>
        </w:rPr>
        <w:t xml:space="preserve"> </w:t>
      </w:r>
      <w:r w:rsidR="00D97A56" w:rsidRPr="00C25CBD">
        <w:rPr>
          <w:rFonts w:ascii="Cambria" w:hAnsi="Cambria"/>
          <w:color w:val="auto"/>
        </w:rPr>
        <w:t xml:space="preserve">en dergelijke </w:t>
      </w:r>
      <w:r w:rsidR="00DA7DF3" w:rsidRPr="00C25CBD">
        <w:rPr>
          <w:rFonts w:ascii="Cambria" w:hAnsi="Cambria"/>
          <w:color w:val="auto"/>
        </w:rPr>
        <w:t xml:space="preserve">die </w:t>
      </w:r>
      <w:r w:rsidR="008535EF">
        <w:rPr>
          <w:rFonts w:ascii="Cambria" w:hAnsi="Cambria"/>
          <w:color w:val="auto"/>
        </w:rPr>
        <w:t xml:space="preserve">in het betreffende jaar </w:t>
      </w:r>
      <w:r w:rsidR="00DA7DF3" w:rsidRPr="00C25CBD">
        <w:rPr>
          <w:rFonts w:ascii="Cambria" w:hAnsi="Cambria"/>
          <w:color w:val="auto"/>
        </w:rPr>
        <w:t>zijn geaccepteerd voor publicatie</w:t>
      </w:r>
      <w:r w:rsidR="00087FD6" w:rsidRPr="00C25CBD">
        <w:rPr>
          <w:rFonts w:ascii="Cambria" w:hAnsi="Cambria"/>
          <w:color w:val="auto"/>
        </w:rPr>
        <w:t>.</w:t>
      </w:r>
      <w:r w:rsidR="00CA58CB" w:rsidRPr="00C25CBD">
        <w:rPr>
          <w:rFonts w:ascii="Cambria" w:hAnsi="Cambria"/>
          <w:color w:val="auto"/>
        </w:rPr>
        <w:t xml:space="preserve"> </w:t>
      </w:r>
      <w:r w:rsidR="00002F54">
        <w:rPr>
          <w:rFonts w:ascii="Cambria" w:hAnsi="Cambria"/>
          <w:color w:val="auto"/>
        </w:rPr>
        <w:t>Uit ieder onderzoeksprogramma worden (at random) twee publicaties geselecteerd voor evaluatie.</w:t>
      </w:r>
    </w:p>
    <w:p w14:paraId="422354AD" w14:textId="699FC86F" w:rsidR="00BB14D4" w:rsidRPr="006D5F42" w:rsidRDefault="00056FF2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>Welke artikelen</w:t>
      </w:r>
      <w:r w:rsidR="00415723" w:rsidRPr="006D5F42">
        <w:rPr>
          <w:rFonts w:ascii="Cambria" w:hAnsi="Cambria"/>
          <w:color w:val="auto"/>
        </w:rPr>
        <w:t>/hoofdstukken</w:t>
      </w:r>
      <w:r w:rsidRPr="006D5F42">
        <w:rPr>
          <w:rFonts w:ascii="Cambria" w:hAnsi="Cambria"/>
          <w:color w:val="auto"/>
        </w:rPr>
        <w:t xml:space="preserve"> worden </w:t>
      </w:r>
      <w:r w:rsidR="00370BF1" w:rsidRPr="006D5F42">
        <w:rPr>
          <w:rFonts w:ascii="Cambria" w:hAnsi="Cambria"/>
          <w:color w:val="auto"/>
        </w:rPr>
        <w:t xml:space="preserve">geëvalueerd </w:t>
      </w:r>
      <w:r w:rsidRPr="006D5F42">
        <w:rPr>
          <w:rFonts w:ascii="Cambria" w:hAnsi="Cambria"/>
          <w:color w:val="auto"/>
        </w:rPr>
        <w:t xml:space="preserve">wordt bepaald door de </w:t>
      </w:r>
      <w:r w:rsidR="00087FD6" w:rsidRPr="006D5F42">
        <w:rPr>
          <w:rFonts w:ascii="Cambria" w:hAnsi="Cambria"/>
          <w:color w:val="auto"/>
        </w:rPr>
        <w:t>Commissie</w:t>
      </w:r>
      <w:r w:rsidRPr="006D5F42">
        <w:rPr>
          <w:rFonts w:ascii="Cambria" w:hAnsi="Cambria"/>
          <w:color w:val="auto"/>
        </w:rPr>
        <w:t xml:space="preserve"> </w:t>
      </w:r>
      <w:r w:rsidR="005D00F2" w:rsidRPr="006D5F42">
        <w:rPr>
          <w:rFonts w:ascii="Cambria" w:hAnsi="Cambria"/>
          <w:color w:val="auto"/>
        </w:rPr>
        <w:t>op basis van</w:t>
      </w:r>
      <w:r w:rsidRPr="006D5F42">
        <w:rPr>
          <w:rFonts w:ascii="Cambria" w:hAnsi="Cambria"/>
          <w:color w:val="auto"/>
        </w:rPr>
        <w:t xml:space="preserve"> een </w:t>
      </w:r>
      <w:r w:rsidR="0028062F" w:rsidRPr="006D5F42">
        <w:rPr>
          <w:rFonts w:ascii="Cambria" w:hAnsi="Cambria"/>
          <w:color w:val="auto"/>
        </w:rPr>
        <w:t xml:space="preserve">gestratificeerde </w:t>
      </w:r>
      <w:r w:rsidRPr="006D5F42">
        <w:rPr>
          <w:rFonts w:ascii="Cambria" w:hAnsi="Cambria"/>
          <w:color w:val="auto"/>
        </w:rPr>
        <w:t xml:space="preserve">steekproef uit </w:t>
      </w:r>
      <w:r w:rsidR="009C1461" w:rsidRPr="006D5F42">
        <w:rPr>
          <w:rFonts w:ascii="Cambria" w:hAnsi="Cambria"/>
          <w:color w:val="auto"/>
        </w:rPr>
        <w:t>alle bij TSB gerealiseerde onderzoeksoutput</w:t>
      </w:r>
      <w:r w:rsidR="000B3348">
        <w:rPr>
          <w:rFonts w:ascii="Cambria" w:hAnsi="Cambria"/>
          <w:color w:val="auto"/>
        </w:rPr>
        <w:t>, zoals geregistreerd in PURE</w:t>
      </w:r>
      <w:r w:rsidRPr="006D5F42">
        <w:rPr>
          <w:rFonts w:ascii="Cambria" w:hAnsi="Cambria"/>
          <w:color w:val="auto"/>
        </w:rPr>
        <w:t xml:space="preserve">. </w:t>
      </w:r>
    </w:p>
    <w:p w14:paraId="60743B66" w14:textId="77777777" w:rsidR="00BB14D4" w:rsidRPr="006D5F42" w:rsidRDefault="00370BF1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>Voor e</w:t>
      </w:r>
      <w:r w:rsidR="00056FF2" w:rsidRPr="006D5F42">
        <w:rPr>
          <w:rFonts w:ascii="Cambria" w:hAnsi="Cambria"/>
          <w:color w:val="auto"/>
        </w:rPr>
        <w:t xml:space="preserve">en </w:t>
      </w:r>
      <w:r w:rsidR="00C86E50" w:rsidRPr="006D5F42">
        <w:rPr>
          <w:rFonts w:ascii="Cambria" w:hAnsi="Cambria"/>
          <w:color w:val="auto"/>
        </w:rPr>
        <w:t xml:space="preserve">evaluatie </w:t>
      </w:r>
      <w:r w:rsidR="00056FF2" w:rsidRPr="006D5F42">
        <w:rPr>
          <w:rFonts w:ascii="Cambria" w:hAnsi="Cambria"/>
          <w:color w:val="auto"/>
        </w:rPr>
        <w:t>wordt twee weken van te voren en in overleg me</w:t>
      </w:r>
      <w:r w:rsidR="00BB14D4" w:rsidRPr="006D5F42">
        <w:rPr>
          <w:rFonts w:ascii="Cambria" w:hAnsi="Cambria"/>
          <w:color w:val="auto"/>
        </w:rPr>
        <w:t>t</w:t>
      </w:r>
      <w:r w:rsidR="00056FF2" w:rsidRPr="006D5F42">
        <w:rPr>
          <w:rFonts w:ascii="Cambria" w:hAnsi="Cambria"/>
          <w:color w:val="auto"/>
        </w:rPr>
        <w:t xml:space="preserve"> de betreffende onderzoeker een afspraak gemaakt</w:t>
      </w:r>
      <w:r w:rsidR="00087FD6" w:rsidRPr="006D5F42">
        <w:rPr>
          <w:rFonts w:ascii="Cambria" w:hAnsi="Cambria"/>
          <w:color w:val="auto"/>
        </w:rPr>
        <w:t xml:space="preserve"> voor een visitatiemoment</w:t>
      </w:r>
      <w:r w:rsidR="00056FF2" w:rsidRPr="006D5F42">
        <w:rPr>
          <w:rFonts w:ascii="Cambria" w:hAnsi="Cambria"/>
          <w:color w:val="auto"/>
        </w:rPr>
        <w:t xml:space="preserve">. </w:t>
      </w:r>
    </w:p>
    <w:p w14:paraId="6617ADFD" w14:textId="77777777" w:rsidR="00EF1F8D" w:rsidRPr="006D5F42" w:rsidRDefault="00056FF2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 xml:space="preserve">Visitatie </w:t>
      </w:r>
      <w:r w:rsidR="00BB14D4" w:rsidRPr="006D5F42">
        <w:rPr>
          <w:rFonts w:ascii="Cambria" w:hAnsi="Cambria"/>
          <w:color w:val="auto"/>
        </w:rPr>
        <w:t xml:space="preserve">gebeurt altijd </w:t>
      </w:r>
      <w:r w:rsidRPr="006D5F42">
        <w:rPr>
          <w:rFonts w:ascii="Cambria" w:hAnsi="Cambria"/>
          <w:color w:val="auto"/>
        </w:rPr>
        <w:t xml:space="preserve">door </w:t>
      </w:r>
      <w:r w:rsidR="00D97A56" w:rsidRPr="006D5F42">
        <w:rPr>
          <w:rFonts w:ascii="Cambria" w:hAnsi="Cambria"/>
          <w:color w:val="auto"/>
        </w:rPr>
        <w:t xml:space="preserve">minstens </w:t>
      </w:r>
      <w:r w:rsidRPr="006D5F42">
        <w:rPr>
          <w:rFonts w:ascii="Cambria" w:hAnsi="Cambria"/>
          <w:color w:val="auto"/>
        </w:rPr>
        <w:t>2 leden</w:t>
      </w:r>
      <w:r w:rsidR="00087FD6" w:rsidRPr="006D5F42">
        <w:rPr>
          <w:rFonts w:ascii="Cambria" w:hAnsi="Cambria"/>
          <w:color w:val="auto"/>
        </w:rPr>
        <w:t xml:space="preserve"> van de Commissie</w:t>
      </w:r>
      <w:r w:rsidR="00F23D62" w:rsidRPr="006D5F42">
        <w:rPr>
          <w:rFonts w:ascii="Cambria" w:hAnsi="Cambria"/>
          <w:color w:val="auto"/>
        </w:rPr>
        <w:t>.</w:t>
      </w:r>
    </w:p>
    <w:p w14:paraId="357ABF5E" w14:textId="77777777" w:rsidR="00087FD6" w:rsidRPr="006D5F42" w:rsidRDefault="00087FD6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>Leden van de Commissie zijn n</w:t>
      </w:r>
      <w:r w:rsidR="00D97A56" w:rsidRPr="006D5F42">
        <w:rPr>
          <w:rFonts w:ascii="Cambria" w:hAnsi="Cambria"/>
          <w:color w:val="auto"/>
        </w:rPr>
        <w:t>iet</w:t>
      </w:r>
      <w:r w:rsidRPr="006D5F42">
        <w:rPr>
          <w:rFonts w:ascii="Cambria" w:hAnsi="Cambria"/>
          <w:color w:val="auto"/>
        </w:rPr>
        <w:t xml:space="preserve"> betrokken bij een visitatie van een onderzoeker uit de eigen onderzoeksgroep.</w:t>
      </w:r>
    </w:p>
    <w:p w14:paraId="410C47AC" w14:textId="77777777" w:rsidR="00090E25" w:rsidRPr="006D5F42" w:rsidRDefault="00090E25" w:rsidP="006D5F42">
      <w:pPr>
        <w:pStyle w:val="Default"/>
        <w:numPr>
          <w:ilvl w:val="0"/>
          <w:numId w:val="2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>De voorzitter van de Commissie wordt altijd op de hoogte gesteld van de bevindingen van de visitatie.</w:t>
      </w:r>
    </w:p>
    <w:p w14:paraId="0F26791D" w14:textId="77777777" w:rsidR="00056FF2" w:rsidRPr="00B862FF" w:rsidRDefault="00056FF2" w:rsidP="00056FF2">
      <w:pPr>
        <w:pStyle w:val="Default"/>
        <w:rPr>
          <w:rFonts w:ascii="Cambria" w:hAnsi="Cambria"/>
          <w:b/>
          <w:bCs/>
        </w:rPr>
      </w:pPr>
    </w:p>
    <w:p w14:paraId="52010907" w14:textId="77777777" w:rsidR="00BB14D4" w:rsidRPr="00B862FF" w:rsidRDefault="00BB14D4" w:rsidP="00BB14D4">
      <w:pPr>
        <w:pStyle w:val="Default"/>
        <w:rPr>
          <w:rFonts w:ascii="Cambria" w:hAnsi="Cambria"/>
          <w:b/>
          <w:bCs/>
        </w:rPr>
      </w:pPr>
      <w:r w:rsidRPr="00B862FF">
        <w:rPr>
          <w:rFonts w:ascii="Cambria" w:hAnsi="Cambria"/>
          <w:b/>
          <w:bCs/>
        </w:rPr>
        <w:t xml:space="preserve">Artikel 6: Handelingswijze </w:t>
      </w:r>
      <w:r w:rsidR="00370BF1" w:rsidRPr="00B862FF">
        <w:rPr>
          <w:rFonts w:ascii="Cambria" w:hAnsi="Cambria"/>
          <w:b/>
          <w:bCs/>
        </w:rPr>
        <w:t xml:space="preserve">en </w:t>
      </w:r>
      <w:r w:rsidRPr="00B862FF">
        <w:rPr>
          <w:rFonts w:ascii="Cambria" w:hAnsi="Cambria"/>
          <w:b/>
          <w:bCs/>
        </w:rPr>
        <w:t>rapportage</w:t>
      </w:r>
    </w:p>
    <w:p w14:paraId="0CC433ED" w14:textId="2994ABE8" w:rsidR="00087FD6" w:rsidRPr="006D5F42" w:rsidRDefault="00087FD6" w:rsidP="006D5F42">
      <w:pPr>
        <w:pStyle w:val="Default"/>
        <w:numPr>
          <w:ilvl w:val="0"/>
          <w:numId w:val="9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 xml:space="preserve">Over elke </w:t>
      </w:r>
      <w:r w:rsidR="00370BF1" w:rsidRPr="006D5F42">
        <w:rPr>
          <w:rFonts w:ascii="Cambria" w:hAnsi="Cambria"/>
          <w:color w:val="auto"/>
        </w:rPr>
        <w:t xml:space="preserve">evaluatie </w:t>
      </w:r>
      <w:r w:rsidRPr="006D5F42">
        <w:rPr>
          <w:rFonts w:ascii="Cambria" w:hAnsi="Cambria"/>
          <w:color w:val="auto"/>
        </w:rPr>
        <w:t>wordt kort</w:t>
      </w:r>
      <w:r w:rsidR="00B21098" w:rsidRPr="006D5F42">
        <w:rPr>
          <w:rFonts w:ascii="Cambria" w:hAnsi="Cambria"/>
          <w:color w:val="auto"/>
        </w:rPr>
        <w:t xml:space="preserve">, schriftelijk </w:t>
      </w:r>
      <w:r w:rsidRPr="006D5F42">
        <w:rPr>
          <w:rFonts w:ascii="Cambria" w:hAnsi="Cambria"/>
          <w:color w:val="auto"/>
        </w:rPr>
        <w:t xml:space="preserve">gerapporteerd aan de betreffende onderzoeker. </w:t>
      </w:r>
      <w:r w:rsidR="00002F54">
        <w:rPr>
          <w:rFonts w:ascii="Cambria" w:hAnsi="Cambria"/>
          <w:color w:val="auto"/>
        </w:rPr>
        <w:t>Het verslag wordt ter controle op feitelijke onjuistheden voorgelegd aan de onderzoeker.</w:t>
      </w:r>
      <w:r w:rsidR="00390D5A" w:rsidRPr="006D5F42">
        <w:rPr>
          <w:rFonts w:ascii="Cambria" w:hAnsi="Cambria"/>
          <w:color w:val="auto"/>
        </w:rPr>
        <w:t xml:space="preserve"> </w:t>
      </w:r>
    </w:p>
    <w:p w14:paraId="5E08D187" w14:textId="0B050AE2" w:rsidR="00087FD6" w:rsidRPr="006D5F42" w:rsidRDefault="00390D5A" w:rsidP="006D5F42">
      <w:pPr>
        <w:pStyle w:val="Default"/>
        <w:numPr>
          <w:ilvl w:val="0"/>
          <w:numId w:val="9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  <w:color w:val="auto"/>
        </w:rPr>
        <w:t xml:space="preserve">Als er tekortkomingen in de </w:t>
      </w:r>
      <w:r w:rsidR="00813023" w:rsidRPr="006D5F42">
        <w:rPr>
          <w:rFonts w:ascii="Cambria" w:hAnsi="Cambria"/>
          <w:color w:val="auto"/>
        </w:rPr>
        <w:t>DHMR</w:t>
      </w:r>
      <w:r w:rsidRPr="006D5F42">
        <w:rPr>
          <w:rFonts w:ascii="Cambria" w:hAnsi="Cambria"/>
          <w:color w:val="auto"/>
        </w:rPr>
        <w:t xml:space="preserve"> worden gesignaleerd, wordt dit vertrouwelijk</w:t>
      </w:r>
      <w:r w:rsidR="00B21098" w:rsidRPr="006D5F42">
        <w:rPr>
          <w:rFonts w:ascii="Cambria" w:hAnsi="Cambria"/>
          <w:color w:val="auto"/>
        </w:rPr>
        <w:t>, schrift</w:t>
      </w:r>
      <w:r w:rsidR="00A67BEB" w:rsidRPr="006D5F42">
        <w:rPr>
          <w:rFonts w:ascii="Cambria" w:hAnsi="Cambria"/>
          <w:color w:val="auto"/>
        </w:rPr>
        <w:t>e</w:t>
      </w:r>
      <w:r w:rsidR="00B21098" w:rsidRPr="006D5F42">
        <w:rPr>
          <w:rFonts w:ascii="Cambria" w:hAnsi="Cambria"/>
          <w:color w:val="auto"/>
        </w:rPr>
        <w:t>lijk</w:t>
      </w:r>
      <w:r w:rsidRPr="006D5F42">
        <w:rPr>
          <w:rFonts w:ascii="Cambria" w:hAnsi="Cambria"/>
          <w:color w:val="auto"/>
        </w:rPr>
        <w:t xml:space="preserve"> gerapporteerd aan de desbetreffende</w:t>
      </w:r>
      <w:r w:rsidR="00813023" w:rsidRPr="006D5F42">
        <w:rPr>
          <w:rFonts w:ascii="Cambria" w:hAnsi="Cambria"/>
          <w:color w:val="auto"/>
        </w:rPr>
        <w:t xml:space="preserve"> onderzoeker</w:t>
      </w:r>
      <w:r w:rsidRPr="006D5F42">
        <w:rPr>
          <w:rFonts w:ascii="Cambria" w:hAnsi="Cambria"/>
          <w:color w:val="auto"/>
        </w:rPr>
        <w:t xml:space="preserve">, </w:t>
      </w:r>
      <w:r w:rsidR="00B21098" w:rsidRPr="006D5F42">
        <w:rPr>
          <w:rFonts w:ascii="Cambria" w:hAnsi="Cambria"/>
          <w:color w:val="auto"/>
        </w:rPr>
        <w:t>en aan</w:t>
      </w:r>
      <w:r w:rsidR="00A67BEB" w:rsidRPr="006D5F42">
        <w:rPr>
          <w:rFonts w:ascii="Cambria" w:hAnsi="Cambria"/>
          <w:color w:val="auto"/>
        </w:rPr>
        <w:t xml:space="preserve"> </w:t>
      </w:r>
      <w:r w:rsidRPr="006D5F42">
        <w:rPr>
          <w:rFonts w:ascii="Cambria" w:hAnsi="Cambria"/>
          <w:color w:val="auto"/>
        </w:rPr>
        <w:t>diens leidinggevende (doorgaans programmaleider</w:t>
      </w:r>
      <w:r w:rsidR="00B606FD">
        <w:rPr>
          <w:rFonts w:ascii="Cambria" w:hAnsi="Cambria"/>
          <w:color w:val="auto"/>
        </w:rPr>
        <w:t xml:space="preserve"> onderzoek</w:t>
      </w:r>
      <w:r w:rsidRPr="006D5F42">
        <w:rPr>
          <w:rFonts w:ascii="Cambria" w:hAnsi="Cambria"/>
          <w:color w:val="auto"/>
        </w:rPr>
        <w:t>)</w:t>
      </w:r>
      <w:r w:rsidR="00686045" w:rsidRPr="006D5F42">
        <w:rPr>
          <w:rFonts w:ascii="Cambria" w:hAnsi="Cambria"/>
          <w:color w:val="auto"/>
        </w:rPr>
        <w:t xml:space="preserve">. </w:t>
      </w:r>
      <w:r w:rsidR="00813023" w:rsidRPr="006D5F42">
        <w:rPr>
          <w:rFonts w:ascii="Cambria" w:hAnsi="Cambria"/>
          <w:color w:val="auto"/>
        </w:rPr>
        <w:t xml:space="preserve">De </w:t>
      </w:r>
      <w:r w:rsidR="00B21098" w:rsidRPr="006D5F42">
        <w:rPr>
          <w:rFonts w:ascii="Cambria" w:hAnsi="Cambria"/>
          <w:color w:val="auto"/>
        </w:rPr>
        <w:t xml:space="preserve">onderzoeker en de </w:t>
      </w:r>
      <w:r w:rsidR="00813023" w:rsidRPr="006D5F42">
        <w:rPr>
          <w:rFonts w:ascii="Cambria" w:hAnsi="Cambria"/>
          <w:color w:val="auto"/>
        </w:rPr>
        <w:t>programmaleider</w:t>
      </w:r>
      <w:r w:rsidRPr="006D5F42">
        <w:rPr>
          <w:rFonts w:ascii="Cambria" w:hAnsi="Cambria"/>
          <w:color w:val="auto"/>
        </w:rPr>
        <w:t xml:space="preserve"> </w:t>
      </w:r>
      <w:r w:rsidR="00B606FD">
        <w:rPr>
          <w:rFonts w:ascii="Cambria" w:hAnsi="Cambria"/>
          <w:color w:val="auto"/>
        </w:rPr>
        <w:t xml:space="preserve">onderzoek </w:t>
      </w:r>
      <w:r w:rsidRPr="006D5F42">
        <w:rPr>
          <w:rFonts w:ascii="Cambria" w:hAnsi="Cambria"/>
          <w:color w:val="auto"/>
        </w:rPr>
        <w:t xml:space="preserve">worden gevraagd hierop schriftelijk te reageren. </w:t>
      </w:r>
    </w:p>
    <w:p w14:paraId="135B1E5C" w14:textId="5B7F28DC" w:rsidR="00B21098" w:rsidRDefault="00002F54" w:rsidP="006D5F42">
      <w:pPr>
        <w:pStyle w:val="Default"/>
        <w:numPr>
          <w:ilvl w:val="0"/>
          <w:numId w:val="9"/>
        </w:numPr>
        <w:ind w:left="426" w:hanging="426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In het geval de Commissie de schriftelijke reactie van onderzoeker en/of programmaleider </w:t>
      </w:r>
      <w:r w:rsidR="00B606FD">
        <w:rPr>
          <w:rFonts w:ascii="Cambria" w:hAnsi="Cambria"/>
          <w:color w:val="auto"/>
        </w:rPr>
        <w:t xml:space="preserve">onderzoek </w:t>
      </w:r>
      <w:r>
        <w:rPr>
          <w:rFonts w:ascii="Cambria" w:hAnsi="Cambria"/>
          <w:color w:val="auto"/>
        </w:rPr>
        <w:t xml:space="preserve">ontoereikend vindt, kan de Commissie besluiten om: </w:t>
      </w:r>
      <w:r w:rsidR="007C2440" w:rsidRPr="006D5F42">
        <w:rPr>
          <w:rFonts w:ascii="Cambria" w:hAnsi="Cambria"/>
          <w:color w:val="auto"/>
        </w:rPr>
        <w:t>a. het voorval aan te kaarten bij de decaan van de faculteit</w:t>
      </w:r>
      <w:r w:rsidR="005A14D3" w:rsidRPr="006D5F42">
        <w:rPr>
          <w:rFonts w:ascii="Cambria" w:hAnsi="Cambria"/>
          <w:color w:val="auto"/>
        </w:rPr>
        <w:t xml:space="preserve">; </w:t>
      </w:r>
      <w:r w:rsidR="007C2440" w:rsidRPr="006D5F42">
        <w:rPr>
          <w:rFonts w:ascii="Cambria" w:hAnsi="Cambria"/>
          <w:color w:val="auto"/>
        </w:rPr>
        <w:t>b.</w:t>
      </w:r>
      <w:r w:rsidR="0028062F" w:rsidRPr="006D5F42">
        <w:rPr>
          <w:rFonts w:ascii="Cambria" w:hAnsi="Cambria"/>
          <w:color w:val="auto"/>
        </w:rPr>
        <w:t xml:space="preserve"> </w:t>
      </w:r>
      <w:r w:rsidR="005A14D3" w:rsidRPr="006D5F42">
        <w:rPr>
          <w:rFonts w:ascii="Cambria" w:hAnsi="Cambria"/>
          <w:color w:val="auto"/>
        </w:rPr>
        <w:t>de decaan te adviseren om nader onderzoek te verrich</w:t>
      </w:r>
      <w:r w:rsidR="007C2440" w:rsidRPr="006D5F42">
        <w:rPr>
          <w:rFonts w:ascii="Cambria" w:hAnsi="Cambria"/>
          <w:color w:val="auto"/>
        </w:rPr>
        <w:t xml:space="preserve">ten; </w:t>
      </w:r>
      <w:r w:rsidR="00090E25" w:rsidRPr="006D5F42">
        <w:rPr>
          <w:rFonts w:ascii="Cambria" w:hAnsi="Cambria"/>
          <w:color w:val="auto"/>
        </w:rPr>
        <w:t>c</w:t>
      </w:r>
      <w:r w:rsidR="007C2440" w:rsidRPr="006D5F42">
        <w:rPr>
          <w:rFonts w:ascii="Cambria" w:hAnsi="Cambria"/>
          <w:color w:val="auto"/>
        </w:rPr>
        <w:t xml:space="preserve">. de decaan te adviseren om </w:t>
      </w:r>
      <w:r w:rsidR="00A67BEB" w:rsidRPr="006D5F42">
        <w:rPr>
          <w:rFonts w:ascii="Cambria" w:hAnsi="Cambria"/>
          <w:color w:val="auto"/>
        </w:rPr>
        <w:t>eventuele</w:t>
      </w:r>
      <w:r w:rsidR="005A14D3" w:rsidRPr="006D5F42">
        <w:rPr>
          <w:rFonts w:ascii="Cambria" w:hAnsi="Cambria"/>
          <w:color w:val="auto"/>
        </w:rPr>
        <w:t xml:space="preserve"> co-auteurs in te </w:t>
      </w:r>
      <w:r w:rsidR="007C2440" w:rsidRPr="006D5F42">
        <w:rPr>
          <w:rFonts w:ascii="Cambria" w:hAnsi="Cambria"/>
          <w:color w:val="auto"/>
        </w:rPr>
        <w:t>lichten</w:t>
      </w:r>
      <w:r w:rsidR="00090E25" w:rsidRPr="006D5F42">
        <w:rPr>
          <w:rFonts w:ascii="Cambria" w:hAnsi="Cambria"/>
          <w:color w:val="auto"/>
        </w:rPr>
        <w:t>; d.</w:t>
      </w:r>
      <w:r w:rsidR="00B21098" w:rsidRPr="006D5F42">
        <w:rPr>
          <w:rFonts w:ascii="Cambria" w:hAnsi="Cambria"/>
          <w:color w:val="auto"/>
        </w:rPr>
        <w:t xml:space="preserve"> </w:t>
      </w:r>
      <w:r w:rsidR="00090E25" w:rsidRPr="006D5F42">
        <w:rPr>
          <w:rFonts w:ascii="Cambria" w:hAnsi="Cambria"/>
          <w:color w:val="auto"/>
        </w:rPr>
        <w:t>de decaan te adviseren om de onafhankelijke vertrouwenspersoon integriteit van de universiteit in te schakelen</w:t>
      </w:r>
      <w:r w:rsidR="006D5F42">
        <w:rPr>
          <w:rFonts w:ascii="Cambria" w:hAnsi="Cambria"/>
          <w:color w:val="auto"/>
        </w:rPr>
        <w:t xml:space="preserve">. </w:t>
      </w:r>
    </w:p>
    <w:p w14:paraId="29A85BA2" w14:textId="77777777" w:rsidR="00265017" w:rsidRPr="006D5F42" w:rsidRDefault="00390D5A" w:rsidP="006D5F42">
      <w:pPr>
        <w:pStyle w:val="Default"/>
        <w:numPr>
          <w:ilvl w:val="0"/>
          <w:numId w:val="9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</w:rPr>
        <w:t xml:space="preserve">Leden </w:t>
      </w:r>
      <w:r w:rsidR="004342F4" w:rsidRPr="006D5F42">
        <w:rPr>
          <w:rFonts w:ascii="Cambria" w:hAnsi="Cambria"/>
        </w:rPr>
        <w:t xml:space="preserve">en ondersteunend personeel </w:t>
      </w:r>
      <w:r w:rsidRPr="006D5F42">
        <w:rPr>
          <w:rFonts w:ascii="Cambria" w:hAnsi="Cambria"/>
        </w:rPr>
        <w:t xml:space="preserve">van de </w:t>
      </w:r>
      <w:r w:rsidR="00087FD6" w:rsidRPr="006D5F42">
        <w:rPr>
          <w:rFonts w:ascii="Cambria" w:hAnsi="Cambria"/>
        </w:rPr>
        <w:t>Commissie</w:t>
      </w:r>
      <w:r w:rsidRPr="006D5F42">
        <w:rPr>
          <w:rFonts w:ascii="Cambria" w:hAnsi="Cambria"/>
        </w:rPr>
        <w:t xml:space="preserve"> </w:t>
      </w:r>
      <w:r w:rsidR="004342F4" w:rsidRPr="006D5F42">
        <w:rPr>
          <w:rFonts w:ascii="Cambria" w:hAnsi="Cambria"/>
        </w:rPr>
        <w:t xml:space="preserve">gaan </w:t>
      </w:r>
      <w:r w:rsidRPr="006D5F42">
        <w:rPr>
          <w:rFonts w:ascii="Cambria" w:hAnsi="Cambria"/>
        </w:rPr>
        <w:t xml:space="preserve">vertrouwelijk om </w:t>
      </w:r>
      <w:r w:rsidR="004342F4" w:rsidRPr="006D5F42">
        <w:rPr>
          <w:rFonts w:ascii="Cambria" w:hAnsi="Cambria"/>
        </w:rPr>
        <w:t>met alle informatie die het werk van de Commissie met zich meebrengt.</w:t>
      </w:r>
    </w:p>
    <w:p w14:paraId="3AD00FC6" w14:textId="5DA384CC" w:rsidR="00390D5A" w:rsidRPr="006D5F42" w:rsidRDefault="00390D5A" w:rsidP="006D5F42">
      <w:pPr>
        <w:pStyle w:val="Default"/>
        <w:numPr>
          <w:ilvl w:val="0"/>
          <w:numId w:val="9"/>
        </w:numPr>
        <w:ind w:left="426" w:hanging="426"/>
        <w:rPr>
          <w:rFonts w:ascii="Cambria" w:hAnsi="Cambria"/>
          <w:color w:val="auto"/>
        </w:rPr>
      </w:pPr>
      <w:r w:rsidRPr="006D5F42">
        <w:rPr>
          <w:rFonts w:ascii="Cambria" w:hAnsi="Cambria"/>
        </w:rPr>
        <w:t xml:space="preserve">In </w:t>
      </w:r>
      <w:r w:rsidR="00813023" w:rsidRPr="006D5F42">
        <w:rPr>
          <w:rFonts w:ascii="Cambria" w:hAnsi="Cambria"/>
        </w:rPr>
        <w:t xml:space="preserve">de </w:t>
      </w:r>
      <w:r w:rsidRPr="006D5F42">
        <w:rPr>
          <w:rFonts w:ascii="Cambria" w:hAnsi="Cambria"/>
        </w:rPr>
        <w:t xml:space="preserve">jaarlijkse rapportage aan </w:t>
      </w:r>
      <w:r w:rsidR="00A23436" w:rsidRPr="006D5F42">
        <w:rPr>
          <w:rFonts w:ascii="Cambria" w:hAnsi="Cambria"/>
        </w:rPr>
        <w:t>de decaan/</w:t>
      </w:r>
      <w:r w:rsidRPr="006D5F42">
        <w:rPr>
          <w:rFonts w:ascii="Cambria" w:hAnsi="Cambria"/>
        </w:rPr>
        <w:t xml:space="preserve">het MT noemt de </w:t>
      </w:r>
      <w:r w:rsidR="00A23436" w:rsidRPr="006D5F42">
        <w:rPr>
          <w:rFonts w:ascii="Cambria" w:hAnsi="Cambria"/>
        </w:rPr>
        <w:t>Commissie</w:t>
      </w:r>
      <w:r w:rsidRPr="006D5F42">
        <w:rPr>
          <w:rFonts w:ascii="Cambria" w:hAnsi="Cambria"/>
        </w:rPr>
        <w:t xml:space="preserve"> geen namen van betrokkenen</w:t>
      </w:r>
      <w:r w:rsidR="00897C98">
        <w:rPr>
          <w:rFonts w:ascii="Cambria" w:hAnsi="Cambria"/>
        </w:rPr>
        <w:t>. De vertrouwelijkheid van de verkregen informatie en anonimiteit van de geëvalueerde onderzoekers zal in acht worden genomen. W</w:t>
      </w:r>
      <w:r w:rsidR="00686045" w:rsidRPr="006D5F42">
        <w:rPr>
          <w:rFonts w:ascii="Cambria" w:hAnsi="Cambria"/>
        </w:rPr>
        <w:t xml:space="preserve">el </w:t>
      </w:r>
      <w:r w:rsidR="00897C98">
        <w:rPr>
          <w:rFonts w:ascii="Cambria" w:hAnsi="Cambria"/>
        </w:rPr>
        <w:t xml:space="preserve">wordt in de jaarlijkse rapportage </w:t>
      </w:r>
      <w:r w:rsidRPr="006D5F42">
        <w:rPr>
          <w:rFonts w:ascii="Cambria" w:hAnsi="Cambria"/>
        </w:rPr>
        <w:t xml:space="preserve">inzage </w:t>
      </w:r>
      <w:r w:rsidR="00813023" w:rsidRPr="006D5F42">
        <w:rPr>
          <w:rFonts w:ascii="Cambria" w:hAnsi="Cambria"/>
        </w:rPr>
        <w:t xml:space="preserve">gegeven </w:t>
      </w:r>
      <w:r w:rsidRPr="006D5F42">
        <w:rPr>
          <w:rFonts w:ascii="Cambria" w:hAnsi="Cambria"/>
        </w:rPr>
        <w:t>in het aantal door de commissie onderzochte artikelen</w:t>
      </w:r>
      <w:r w:rsidR="00897C98">
        <w:rPr>
          <w:rFonts w:ascii="Cambria" w:hAnsi="Cambria"/>
        </w:rPr>
        <w:t xml:space="preserve">, de bevindingen van de evaluatie volgens de checklist, </w:t>
      </w:r>
      <w:r w:rsidRPr="006D5F42">
        <w:rPr>
          <w:rFonts w:ascii="Cambria" w:hAnsi="Cambria"/>
        </w:rPr>
        <w:t xml:space="preserve">en </w:t>
      </w:r>
      <w:r w:rsidR="00813023" w:rsidRPr="006D5F42">
        <w:rPr>
          <w:rFonts w:ascii="Cambria" w:hAnsi="Cambria"/>
        </w:rPr>
        <w:t xml:space="preserve">de aard van </w:t>
      </w:r>
      <w:r w:rsidR="00897C98">
        <w:rPr>
          <w:rFonts w:ascii="Cambria" w:hAnsi="Cambria"/>
        </w:rPr>
        <w:t>eventuele</w:t>
      </w:r>
      <w:r w:rsidR="00813023" w:rsidRPr="006D5F42">
        <w:rPr>
          <w:rFonts w:ascii="Cambria" w:hAnsi="Cambria"/>
        </w:rPr>
        <w:t xml:space="preserve"> tekortkomingen</w:t>
      </w:r>
      <w:r w:rsidRPr="006D5F42">
        <w:rPr>
          <w:rFonts w:ascii="Cambria" w:hAnsi="Cambria"/>
        </w:rPr>
        <w:t xml:space="preserve"> </w:t>
      </w:r>
      <w:r w:rsidR="00897C98">
        <w:rPr>
          <w:rFonts w:ascii="Cambria" w:hAnsi="Cambria"/>
        </w:rPr>
        <w:t xml:space="preserve">die werden gesignaleerd </w:t>
      </w:r>
      <w:r w:rsidR="00A23436" w:rsidRPr="006D5F42">
        <w:rPr>
          <w:rFonts w:ascii="Cambria" w:hAnsi="Cambria"/>
        </w:rPr>
        <w:t>en/</w:t>
      </w:r>
      <w:r w:rsidRPr="006D5F42">
        <w:rPr>
          <w:rFonts w:ascii="Cambria" w:hAnsi="Cambria"/>
        </w:rPr>
        <w:t xml:space="preserve">of verbeterpunten </w:t>
      </w:r>
      <w:r w:rsidR="00897C98">
        <w:rPr>
          <w:rFonts w:ascii="Cambria" w:hAnsi="Cambria"/>
        </w:rPr>
        <w:t xml:space="preserve">die </w:t>
      </w:r>
      <w:r w:rsidRPr="006D5F42">
        <w:rPr>
          <w:rFonts w:ascii="Cambria" w:hAnsi="Cambria"/>
        </w:rPr>
        <w:t xml:space="preserve">werden </w:t>
      </w:r>
      <w:r w:rsidR="00897C98">
        <w:rPr>
          <w:rFonts w:ascii="Cambria" w:hAnsi="Cambria"/>
        </w:rPr>
        <w:t>gesuggereerd</w:t>
      </w:r>
      <w:r w:rsidRPr="006D5F42">
        <w:rPr>
          <w:rFonts w:ascii="Cambria" w:hAnsi="Cambria"/>
        </w:rPr>
        <w:t xml:space="preserve">. </w:t>
      </w:r>
    </w:p>
    <w:p w14:paraId="5AF9E210" w14:textId="77777777" w:rsidR="00390D5A" w:rsidRPr="00B862FF" w:rsidRDefault="00390D5A" w:rsidP="00056FF2">
      <w:pPr>
        <w:pStyle w:val="Default"/>
        <w:rPr>
          <w:rFonts w:ascii="Cambria" w:hAnsi="Cambria"/>
          <w:b/>
          <w:bCs/>
        </w:rPr>
      </w:pPr>
    </w:p>
    <w:p w14:paraId="3F62766D" w14:textId="652A69FD" w:rsidR="00813023" w:rsidRDefault="006F1541" w:rsidP="00B46697">
      <w:pPr>
        <w:spacing w:after="0" w:line="240" w:lineRule="auto"/>
        <w:rPr>
          <w:rFonts w:ascii="Cambria" w:hAnsi="Cambria"/>
          <w:sz w:val="24"/>
          <w:szCs w:val="24"/>
        </w:rPr>
      </w:pPr>
      <w:r w:rsidRPr="00B862FF">
        <w:rPr>
          <w:rFonts w:ascii="Cambria" w:hAnsi="Cambria"/>
          <w:sz w:val="24"/>
          <w:szCs w:val="24"/>
        </w:rPr>
        <w:t>Het reglement is vastgesteld bij besluit van het MT TSB</w:t>
      </w:r>
      <w:r w:rsidR="00F23D62">
        <w:rPr>
          <w:rFonts w:ascii="Cambria" w:hAnsi="Cambria"/>
          <w:sz w:val="24"/>
          <w:szCs w:val="24"/>
        </w:rPr>
        <w:t>,</w:t>
      </w:r>
    </w:p>
    <w:p w14:paraId="3F65FBAE" w14:textId="6BC54D60" w:rsidR="00F23D62" w:rsidRPr="00B862FF" w:rsidRDefault="00B46697" w:rsidP="00B4669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d.d. </w:t>
      </w:r>
      <w:r w:rsidR="002E5876">
        <w:rPr>
          <w:rFonts w:ascii="Cambria" w:hAnsi="Cambria"/>
          <w:sz w:val="24"/>
          <w:szCs w:val="24"/>
        </w:rPr>
        <w:t>18 januari 2016</w:t>
      </w:r>
      <w:bookmarkStart w:id="0" w:name="_GoBack"/>
      <w:bookmarkEnd w:id="0"/>
    </w:p>
    <w:sectPr w:rsidR="00F23D62" w:rsidRPr="00B862FF" w:rsidSect="002B59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1F67" w14:textId="77777777" w:rsidR="00EA37C5" w:rsidRDefault="00EA37C5" w:rsidP="004F7198">
      <w:pPr>
        <w:spacing w:after="0" w:line="240" w:lineRule="auto"/>
      </w:pPr>
      <w:r>
        <w:separator/>
      </w:r>
    </w:p>
  </w:endnote>
  <w:endnote w:type="continuationSeparator" w:id="0">
    <w:p w14:paraId="23429A0A" w14:textId="77777777" w:rsidR="00EA37C5" w:rsidRDefault="00EA37C5" w:rsidP="004F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299"/>
      <w:docPartObj>
        <w:docPartGallery w:val="Page Numbers (Bottom of Page)"/>
        <w:docPartUnique/>
      </w:docPartObj>
    </w:sdtPr>
    <w:sdtEndPr/>
    <w:sdtContent>
      <w:p w14:paraId="20CBF7CB" w14:textId="77777777" w:rsidR="00002F54" w:rsidRDefault="00002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DE8D5" w14:textId="77777777" w:rsidR="00002F54" w:rsidRDefault="00002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E0D2" w14:textId="77777777" w:rsidR="00EA37C5" w:rsidRDefault="00EA37C5" w:rsidP="004F7198">
      <w:pPr>
        <w:spacing w:after="0" w:line="240" w:lineRule="auto"/>
      </w:pPr>
      <w:r>
        <w:separator/>
      </w:r>
    </w:p>
  </w:footnote>
  <w:footnote w:type="continuationSeparator" w:id="0">
    <w:p w14:paraId="6ABD6B88" w14:textId="77777777" w:rsidR="00EA37C5" w:rsidRDefault="00EA37C5" w:rsidP="004F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17B1" w14:textId="77777777" w:rsidR="00002F54" w:rsidRDefault="00002F54">
    <w:pPr>
      <w:pStyle w:val="Header"/>
    </w:pPr>
    <w:r>
      <w:t xml:space="preserve">Reglement Wetenschapscie. TSB </w:t>
    </w:r>
  </w:p>
  <w:p w14:paraId="7C36B751" w14:textId="77777777" w:rsidR="00002F54" w:rsidRDefault="00002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C52"/>
    <w:multiLevelType w:val="hybridMultilevel"/>
    <w:tmpl w:val="A408395E"/>
    <w:lvl w:ilvl="0" w:tplc="E24055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Minio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E2E"/>
    <w:multiLevelType w:val="hybridMultilevel"/>
    <w:tmpl w:val="6A7ECD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22C4"/>
    <w:multiLevelType w:val="hybridMultilevel"/>
    <w:tmpl w:val="C01EF084"/>
    <w:lvl w:ilvl="0" w:tplc="8F52D1C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77315"/>
    <w:multiLevelType w:val="hybridMultilevel"/>
    <w:tmpl w:val="A4025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FC8"/>
    <w:multiLevelType w:val="hybridMultilevel"/>
    <w:tmpl w:val="FB6E3AFC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00054"/>
    <w:multiLevelType w:val="hybridMultilevel"/>
    <w:tmpl w:val="1DA6F02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6A40"/>
    <w:multiLevelType w:val="hybridMultilevel"/>
    <w:tmpl w:val="D264C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02C25"/>
    <w:multiLevelType w:val="hybridMultilevel"/>
    <w:tmpl w:val="65D88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28D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93F"/>
    <w:multiLevelType w:val="hybridMultilevel"/>
    <w:tmpl w:val="AA5C2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1"/>
    <w:rsid w:val="00002F54"/>
    <w:rsid w:val="00004FF2"/>
    <w:rsid w:val="00044070"/>
    <w:rsid w:val="00056FF2"/>
    <w:rsid w:val="00060019"/>
    <w:rsid w:val="00087FD6"/>
    <w:rsid w:val="00090E25"/>
    <w:rsid w:val="000B3348"/>
    <w:rsid w:val="00111B5D"/>
    <w:rsid w:val="001125C1"/>
    <w:rsid w:val="001137EF"/>
    <w:rsid w:val="0012695A"/>
    <w:rsid w:val="001652F6"/>
    <w:rsid w:val="001948FA"/>
    <w:rsid w:val="001E69A1"/>
    <w:rsid w:val="00200ED4"/>
    <w:rsid w:val="00232ADD"/>
    <w:rsid w:val="00242E0E"/>
    <w:rsid w:val="00261AD9"/>
    <w:rsid w:val="00265017"/>
    <w:rsid w:val="0028062F"/>
    <w:rsid w:val="002A5221"/>
    <w:rsid w:val="002B59ED"/>
    <w:rsid w:val="002E5876"/>
    <w:rsid w:val="003145F2"/>
    <w:rsid w:val="00320F42"/>
    <w:rsid w:val="00333DBB"/>
    <w:rsid w:val="00370804"/>
    <w:rsid w:val="00370BF1"/>
    <w:rsid w:val="00390D5A"/>
    <w:rsid w:val="003A4A0F"/>
    <w:rsid w:val="003B3F1B"/>
    <w:rsid w:val="003D6161"/>
    <w:rsid w:val="00415723"/>
    <w:rsid w:val="004342F4"/>
    <w:rsid w:val="00466348"/>
    <w:rsid w:val="00470ABD"/>
    <w:rsid w:val="004854BA"/>
    <w:rsid w:val="004C458D"/>
    <w:rsid w:val="004F1C3D"/>
    <w:rsid w:val="004F7198"/>
    <w:rsid w:val="0053750D"/>
    <w:rsid w:val="00563BE0"/>
    <w:rsid w:val="00584442"/>
    <w:rsid w:val="005A14D3"/>
    <w:rsid w:val="005A1B32"/>
    <w:rsid w:val="005A6C9E"/>
    <w:rsid w:val="005B3E47"/>
    <w:rsid w:val="005C6F62"/>
    <w:rsid w:val="005D00F2"/>
    <w:rsid w:val="00602648"/>
    <w:rsid w:val="00615540"/>
    <w:rsid w:val="00625580"/>
    <w:rsid w:val="006367B9"/>
    <w:rsid w:val="00646351"/>
    <w:rsid w:val="00686045"/>
    <w:rsid w:val="006C651B"/>
    <w:rsid w:val="006D5F42"/>
    <w:rsid w:val="006F1541"/>
    <w:rsid w:val="006F3E5A"/>
    <w:rsid w:val="0075686E"/>
    <w:rsid w:val="00756CC9"/>
    <w:rsid w:val="00794A9F"/>
    <w:rsid w:val="007B17FA"/>
    <w:rsid w:val="007C2440"/>
    <w:rsid w:val="007D6E25"/>
    <w:rsid w:val="00813023"/>
    <w:rsid w:val="00830924"/>
    <w:rsid w:val="00834942"/>
    <w:rsid w:val="008535EF"/>
    <w:rsid w:val="00892CB8"/>
    <w:rsid w:val="00897C98"/>
    <w:rsid w:val="00900CA4"/>
    <w:rsid w:val="00913E65"/>
    <w:rsid w:val="009165A2"/>
    <w:rsid w:val="009200E5"/>
    <w:rsid w:val="00921C24"/>
    <w:rsid w:val="00932A1C"/>
    <w:rsid w:val="00974CA1"/>
    <w:rsid w:val="009A3895"/>
    <w:rsid w:val="009C0337"/>
    <w:rsid w:val="009C1461"/>
    <w:rsid w:val="009E4F8F"/>
    <w:rsid w:val="00A23436"/>
    <w:rsid w:val="00A352D2"/>
    <w:rsid w:val="00A61232"/>
    <w:rsid w:val="00A67BEB"/>
    <w:rsid w:val="00A80534"/>
    <w:rsid w:val="00A9036E"/>
    <w:rsid w:val="00AD287F"/>
    <w:rsid w:val="00AE2A20"/>
    <w:rsid w:val="00B12E42"/>
    <w:rsid w:val="00B21098"/>
    <w:rsid w:val="00B2681A"/>
    <w:rsid w:val="00B45F4D"/>
    <w:rsid w:val="00B46697"/>
    <w:rsid w:val="00B56B5B"/>
    <w:rsid w:val="00B606FD"/>
    <w:rsid w:val="00B67F93"/>
    <w:rsid w:val="00B862FF"/>
    <w:rsid w:val="00B91BBA"/>
    <w:rsid w:val="00BA7C2D"/>
    <w:rsid w:val="00BB14D4"/>
    <w:rsid w:val="00BF1260"/>
    <w:rsid w:val="00BF1A46"/>
    <w:rsid w:val="00C25CBD"/>
    <w:rsid w:val="00C31285"/>
    <w:rsid w:val="00C37F3D"/>
    <w:rsid w:val="00C40030"/>
    <w:rsid w:val="00C55B95"/>
    <w:rsid w:val="00C740B3"/>
    <w:rsid w:val="00C86E50"/>
    <w:rsid w:val="00CA58CB"/>
    <w:rsid w:val="00CB26C9"/>
    <w:rsid w:val="00CD6410"/>
    <w:rsid w:val="00D01A3D"/>
    <w:rsid w:val="00D025A8"/>
    <w:rsid w:val="00D06B8C"/>
    <w:rsid w:val="00D86D96"/>
    <w:rsid w:val="00D97A56"/>
    <w:rsid w:val="00D97B45"/>
    <w:rsid w:val="00DA7DF3"/>
    <w:rsid w:val="00DC0CAE"/>
    <w:rsid w:val="00E237EB"/>
    <w:rsid w:val="00E351A2"/>
    <w:rsid w:val="00E36B1A"/>
    <w:rsid w:val="00E4115D"/>
    <w:rsid w:val="00E449B7"/>
    <w:rsid w:val="00EA37C5"/>
    <w:rsid w:val="00EA4F17"/>
    <w:rsid w:val="00EA798A"/>
    <w:rsid w:val="00ED5DC7"/>
    <w:rsid w:val="00EF1F8D"/>
    <w:rsid w:val="00EF4FD2"/>
    <w:rsid w:val="00F23D62"/>
    <w:rsid w:val="00F24B41"/>
    <w:rsid w:val="00F65A58"/>
    <w:rsid w:val="00FA5B71"/>
    <w:rsid w:val="00FB06CB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47ECE"/>
  <w15:docId w15:val="{63382851-95A1-4A3A-A53B-2F6B49BA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541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98"/>
  </w:style>
  <w:style w:type="paragraph" w:styleId="Footer">
    <w:name w:val="footer"/>
    <w:basedOn w:val="Normal"/>
    <w:link w:val="FooterChar"/>
    <w:uiPriority w:val="99"/>
    <w:unhideWhenUsed/>
    <w:rsid w:val="004F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5623-B744-45A6-AC87-DB8DF37F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Veldhoven</dc:creator>
  <cp:lastModifiedBy>M.T.A. van den Heuvel</cp:lastModifiedBy>
  <cp:revision>2</cp:revision>
  <dcterms:created xsi:type="dcterms:W3CDTF">2016-01-25T13:10:00Z</dcterms:created>
  <dcterms:modified xsi:type="dcterms:W3CDTF">2016-01-25T13:10:00Z</dcterms:modified>
</cp:coreProperties>
</file>