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BA1C" w14:textId="0A88FAAA" w:rsidR="00BA6061" w:rsidRPr="00315445" w:rsidRDefault="00C5365D" w:rsidP="00315445">
      <w:pPr>
        <w:pStyle w:val="Heading1"/>
      </w:pPr>
      <w:r>
        <w:t>Procedure</w:t>
      </w:r>
      <w:r w:rsidR="00AE3655" w:rsidRPr="00315445">
        <w:t xml:space="preserve"> Ethics Review </w:t>
      </w:r>
      <w:r w:rsidR="003D549B">
        <w:t>B</w:t>
      </w:r>
      <w:r w:rsidR="007A6375">
        <w:t xml:space="preserve">oard </w:t>
      </w:r>
      <w:r w:rsidR="00AE3655" w:rsidRPr="00315445">
        <w:t>TLS</w:t>
      </w:r>
    </w:p>
    <w:p w14:paraId="6C7F8881" w14:textId="730D30BC" w:rsidR="009A36C1" w:rsidRDefault="00AE1DE4" w:rsidP="00AE1DE4">
      <w:pPr>
        <w:pStyle w:val="Heading2"/>
        <w:rPr>
          <w:lang w:val="en-GB"/>
        </w:rPr>
      </w:pPr>
      <w:r>
        <w:rPr>
          <w:lang w:val="en-GB"/>
        </w:rPr>
        <w:br/>
        <w:t>Introduction</w:t>
      </w:r>
    </w:p>
    <w:p w14:paraId="055D5AD0" w14:textId="427607D3" w:rsidR="007A6375" w:rsidRPr="00315445" w:rsidRDefault="00AE1DE4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AE1DE4">
        <w:rPr>
          <w:rFonts w:ascii="Arial" w:hAnsi="Arial" w:cs="Arial"/>
          <w:sz w:val="20"/>
          <w:lang w:val="en-GB"/>
        </w:rPr>
        <w:t xml:space="preserve">This memo </w:t>
      </w:r>
      <w:r>
        <w:rPr>
          <w:rFonts w:ascii="Arial" w:hAnsi="Arial" w:cs="Arial"/>
          <w:sz w:val="20"/>
          <w:lang w:val="en-GB"/>
        </w:rPr>
        <w:t xml:space="preserve">explains in short the work of </w:t>
      </w:r>
      <w:r>
        <w:rPr>
          <w:rFonts w:ascii="Arial" w:hAnsi="Arial" w:cs="Arial"/>
          <w:sz w:val="20"/>
          <w:szCs w:val="20"/>
        </w:rPr>
        <w:t>t</w:t>
      </w:r>
      <w:r w:rsidRPr="00315445">
        <w:rPr>
          <w:rFonts w:ascii="Arial" w:hAnsi="Arial" w:cs="Arial"/>
          <w:sz w:val="20"/>
          <w:szCs w:val="20"/>
        </w:rPr>
        <w:t>he Ethics Review Board</w:t>
      </w:r>
      <w:r>
        <w:rPr>
          <w:rFonts w:ascii="Arial" w:hAnsi="Arial" w:cs="Arial"/>
          <w:sz w:val="20"/>
          <w:szCs w:val="20"/>
        </w:rPr>
        <w:t xml:space="preserve"> of</w:t>
      </w:r>
      <w:r w:rsidRPr="00315445">
        <w:rPr>
          <w:rFonts w:ascii="Arial" w:hAnsi="Arial" w:cs="Arial"/>
          <w:sz w:val="20"/>
          <w:szCs w:val="20"/>
        </w:rPr>
        <w:t xml:space="preserve"> TLS (ERB</w:t>
      </w:r>
      <w:r>
        <w:rPr>
          <w:rFonts w:ascii="Arial" w:hAnsi="Arial" w:cs="Arial"/>
          <w:sz w:val="20"/>
          <w:szCs w:val="20"/>
        </w:rPr>
        <w:t>-TLS</w:t>
      </w:r>
      <w:r w:rsidRPr="003154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943087">
        <w:rPr>
          <w:rFonts w:ascii="Arial" w:hAnsi="Arial" w:cs="Arial"/>
          <w:sz w:val="20"/>
          <w:szCs w:val="20"/>
        </w:rPr>
        <w:t xml:space="preserve"> </w:t>
      </w:r>
      <w:r w:rsidR="00943087" w:rsidRPr="00943087">
        <w:rPr>
          <w:rFonts w:ascii="Arial" w:hAnsi="Arial" w:cs="Arial"/>
          <w:sz w:val="20"/>
          <w:szCs w:val="20"/>
        </w:rPr>
        <w:t xml:space="preserve">Tilburg University has decided on an integrated approach ‘one-stop shop’, combining ethics review with data management and registration of use of personal data as required by the </w:t>
      </w:r>
      <w:r w:rsidR="00F74F4F">
        <w:rPr>
          <w:rFonts w:ascii="Arial" w:hAnsi="Arial" w:cs="Arial"/>
          <w:sz w:val="20"/>
          <w:szCs w:val="20"/>
        </w:rPr>
        <w:t>General Data Protection Regulation (</w:t>
      </w:r>
      <w:r w:rsidR="00943087" w:rsidRPr="00943087">
        <w:rPr>
          <w:rFonts w:ascii="Arial" w:hAnsi="Arial" w:cs="Arial"/>
          <w:sz w:val="20"/>
          <w:szCs w:val="20"/>
        </w:rPr>
        <w:t>GDPR</w:t>
      </w:r>
      <w:r w:rsidR="00F74F4F">
        <w:rPr>
          <w:rFonts w:ascii="Arial" w:hAnsi="Arial" w:cs="Arial"/>
          <w:sz w:val="20"/>
          <w:szCs w:val="20"/>
        </w:rPr>
        <w:t>)</w:t>
      </w:r>
      <w:r w:rsidR="00943087" w:rsidRPr="00943087">
        <w:rPr>
          <w:rFonts w:ascii="Arial" w:hAnsi="Arial" w:cs="Arial"/>
          <w:sz w:val="20"/>
          <w:szCs w:val="20"/>
        </w:rPr>
        <w:t>. By combining these three aspects the workload for researchers will b</w:t>
      </w:r>
      <w:r w:rsidR="00943087">
        <w:rPr>
          <w:rFonts w:ascii="Arial" w:hAnsi="Arial" w:cs="Arial"/>
          <w:sz w:val="20"/>
          <w:szCs w:val="20"/>
        </w:rPr>
        <w:t xml:space="preserve">e limited as much as possible. </w:t>
      </w:r>
      <w:r w:rsidR="00943087" w:rsidRPr="00943087">
        <w:rPr>
          <w:rFonts w:ascii="Arial" w:hAnsi="Arial" w:cs="Arial"/>
          <w:sz w:val="20"/>
          <w:szCs w:val="20"/>
        </w:rPr>
        <w:t>To that end, an application form has been developed that integrates Ethics Review, Data Management and Registration.</w:t>
      </w:r>
      <w:r w:rsidR="006D540E">
        <w:rPr>
          <w:rFonts w:ascii="Arial" w:hAnsi="Arial" w:cs="Arial"/>
          <w:sz w:val="20"/>
          <w:szCs w:val="20"/>
        </w:rPr>
        <w:t xml:space="preserve"> More information can be found on the GDPR </w:t>
      </w:r>
      <w:hyperlink r:id="rId8" w:history="1">
        <w:r w:rsidR="006D540E" w:rsidRPr="006D540E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6D540E">
        <w:rPr>
          <w:rFonts w:ascii="Arial" w:hAnsi="Arial" w:cs="Arial"/>
          <w:sz w:val="20"/>
          <w:szCs w:val="20"/>
        </w:rPr>
        <w:t xml:space="preserve">, and the ERB-TLS </w:t>
      </w:r>
      <w:hyperlink r:id="rId9" w:history="1">
        <w:r w:rsidR="006D540E" w:rsidRPr="006D540E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6D540E">
        <w:rPr>
          <w:rFonts w:ascii="Arial" w:hAnsi="Arial" w:cs="Arial"/>
          <w:sz w:val="20"/>
          <w:szCs w:val="20"/>
        </w:rPr>
        <w:t xml:space="preserve">. </w:t>
      </w:r>
    </w:p>
    <w:p w14:paraId="32C5FF9E" w14:textId="6215BF22" w:rsidR="00207BC8" w:rsidRPr="00315445" w:rsidRDefault="00315445" w:rsidP="00315445">
      <w:pPr>
        <w:pStyle w:val="Heading2"/>
      </w:pPr>
      <w:r w:rsidRPr="00315445">
        <w:t>Why</w:t>
      </w:r>
      <w:r w:rsidR="00AE3655" w:rsidRPr="00315445">
        <w:t xml:space="preserve"> ethics review</w:t>
      </w:r>
      <w:r w:rsidR="00596DC6">
        <w:t>?</w:t>
      </w:r>
    </w:p>
    <w:p w14:paraId="639D0E56" w14:textId="45170FA1" w:rsidR="00315445" w:rsidRPr="00315445" w:rsidRDefault="00315445" w:rsidP="0031544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 xml:space="preserve">Any research in social and </w:t>
      </w:r>
      <w:proofErr w:type="spellStart"/>
      <w:r w:rsidRPr="00315445">
        <w:rPr>
          <w:rFonts w:ascii="Arial" w:hAnsi="Arial" w:cs="Arial"/>
          <w:sz w:val="20"/>
          <w:szCs w:val="20"/>
          <w:lang w:val="en-GB"/>
        </w:rPr>
        <w:t>behavioral</w:t>
      </w:r>
      <w:proofErr w:type="spellEnd"/>
      <w:r w:rsidRPr="00315445">
        <w:rPr>
          <w:rFonts w:ascii="Arial" w:hAnsi="Arial" w:cs="Arial"/>
          <w:sz w:val="20"/>
          <w:szCs w:val="20"/>
          <w:lang w:val="en-GB"/>
        </w:rPr>
        <w:t xml:space="preserve"> sciences, in the humanities and in law </w:t>
      </w:r>
      <w:r w:rsidR="00512504">
        <w:rPr>
          <w:rFonts w:ascii="Arial" w:hAnsi="Arial" w:cs="Arial"/>
          <w:sz w:val="20"/>
          <w:szCs w:val="20"/>
          <w:lang w:val="en-GB"/>
        </w:rPr>
        <w:t>that creates (</w:t>
      </w:r>
      <w:r w:rsidR="00FF5EC0">
        <w:rPr>
          <w:rFonts w:ascii="Arial" w:hAnsi="Arial" w:cs="Arial"/>
          <w:sz w:val="20"/>
          <w:szCs w:val="20"/>
          <w:lang w:val="en-GB"/>
        </w:rPr>
        <w:t>a risk of</w:t>
      </w:r>
      <w:r w:rsidR="00512504">
        <w:rPr>
          <w:rFonts w:ascii="Arial" w:hAnsi="Arial" w:cs="Arial"/>
          <w:sz w:val="20"/>
          <w:szCs w:val="20"/>
          <w:lang w:val="en-GB"/>
        </w:rPr>
        <w:t xml:space="preserve">) harm </w:t>
      </w:r>
      <w:r w:rsidR="00F74F4F">
        <w:rPr>
          <w:rFonts w:ascii="Arial" w:hAnsi="Arial" w:cs="Arial"/>
          <w:sz w:val="20"/>
          <w:szCs w:val="20"/>
          <w:lang w:val="en-GB"/>
        </w:rPr>
        <w:t>to</w:t>
      </w:r>
      <w:r w:rsidR="00512504" w:rsidRPr="00315445">
        <w:rPr>
          <w:rFonts w:ascii="Arial" w:hAnsi="Arial" w:cs="Arial"/>
          <w:sz w:val="20"/>
          <w:szCs w:val="20"/>
          <w:lang w:val="en-GB"/>
        </w:rPr>
        <w:t xml:space="preserve"> </w:t>
      </w:r>
      <w:r w:rsidRPr="00315445">
        <w:rPr>
          <w:rFonts w:ascii="Arial" w:hAnsi="Arial" w:cs="Arial"/>
          <w:sz w:val="20"/>
          <w:szCs w:val="20"/>
          <w:lang w:val="en-GB"/>
        </w:rPr>
        <w:t>human research participants (respondents, test persons, etc.)</w:t>
      </w:r>
      <w:r w:rsidR="00C5365D">
        <w:rPr>
          <w:rFonts w:ascii="Arial" w:hAnsi="Arial" w:cs="Arial"/>
          <w:sz w:val="20"/>
          <w:szCs w:val="20"/>
          <w:lang w:val="en-GB"/>
        </w:rPr>
        <w:t xml:space="preserve"> or that can be harmful by design or potential outcome,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is to be guided by ethical principles. In following these, we need to acknowledge and manage risks to participants’ wellbeing that might arise in the research.</w:t>
      </w:r>
    </w:p>
    <w:p w14:paraId="2EBB7C3B" w14:textId="625BD321" w:rsidR="00207BC8" w:rsidRPr="00315445" w:rsidRDefault="00315445" w:rsidP="0031544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</w:rPr>
        <w:t xml:space="preserve">In an academic environment in which research is increasingly interdisciplinary and empirical research increasingly important including within the legal discipline, researchers ought to be aware of ethical aspects of their </w:t>
      </w:r>
      <w:r w:rsidR="00172E6C" w:rsidRPr="00315445">
        <w:rPr>
          <w:rFonts w:ascii="Arial" w:hAnsi="Arial" w:cs="Arial"/>
          <w:sz w:val="20"/>
          <w:szCs w:val="20"/>
        </w:rPr>
        <w:t>research. The</w:t>
      </w:r>
      <w:r w:rsidRPr="00315445">
        <w:rPr>
          <w:rFonts w:ascii="Arial" w:hAnsi="Arial" w:cs="Arial"/>
          <w:sz w:val="20"/>
          <w:szCs w:val="20"/>
        </w:rPr>
        <w:t xml:space="preserve"> </w:t>
      </w:r>
      <w:r w:rsidR="00AE1DE4">
        <w:rPr>
          <w:rFonts w:ascii="Arial" w:hAnsi="Arial" w:cs="Arial"/>
          <w:sz w:val="20"/>
          <w:szCs w:val="20"/>
        </w:rPr>
        <w:t>ERB-TLS</w:t>
      </w:r>
      <w:r w:rsidRPr="00315445">
        <w:rPr>
          <w:rFonts w:ascii="Arial" w:hAnsi="Arial" w:cs="Arial"/>
          <w:sz w:val="20"/>
          <w:szCs w:val="20"/>
        </w:rPr>
        <w:t xml:space="preserve"> through ethics review gives guidance to researchers on the ethical aspects of their research and provides ethical clearance if the research </w:t>
      </w:r>
      <w:r w:rsidR="00512504">
        <w:rPr>
          <w:rFonts w:ascii="Arial" w:hAnsi="Arial" w:cs="Arial"/>
          <w:sz w:val="20"/>
          <w:szCs w:val="20"/>
        </w:rPr>
        <w:t>will be</w:t>
      </w:r>
      <w:r w:rsidR="00512504" w:rsidRPr="00315445">
        <w:rPr>
          <w:rFonts w:ascii="Arial" w:hAnsi="Arial" w:cs="Arial"/>
          <w:sz w:val="20"/>
          <w:szCs w:val="20"/>
        </w:rPr>
        <w:t xml:space="preserve"> </w:t>
      </w:r>
      <w:r w:rsidRPr="00315445">
        <w:rPr>
          <w:rFonts w:ascii="Arial" w:hAnsi="Arial" w:cs="Arial"/>
          <w:sz w:val="20"/>
          <w:szCs w:val="20"/>
        </w:rPr>
        <w:t>conducted in compliance with its guidelines</w:t>
      </w:r>
      <w:r w:rsidR="004C2E91">
        <w:rPr>
          <w:rFonts w:ascii="Arial" w:hAnsi="Arial" w:cs="Arial"/>
          <w:sz w:val="20"/>
          <w:szCs w:val="20"/>
        </w:rPr>
        <w:t>.</w:t>
      </w:r>
      <w:r w:rsidRPr="00315445">
        <w:rPr>
          <w:rFonts w:ascii="Arial" w:hAnsi="Arial" w:cs="Arial"/>
          <w:sz w:val="20"/>
          <w:szCs w:val="20"/>
        </w:rPr>
        <w:t xml:space="preserve"> Such clearance might even be required for publication of the research results or when applying for funding. </w:t>
      </w:r>
    </w:p>
    <w:p w14:paraId="15EEEF73" w14:textId="1A28A860" w:rsidR="00AE3655" w:rsidRPr="00315445" w:rsidRDefault="00AD6F11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>The conduct of ethical research is</w:t>
      </w:r>
      <w:r w:rsidR="00F74F4F">
        <w:rPr>
          <w:rFonts w:ascii="Arial" w:hAnsi="Arial" w:cs="Arial"/>
          <w:sz w:val="20"/>
          <w:szCs w:val="20"/>
          <w:lang w:val="en-GB"/>
        </w:rPr>
        <w:t xml:space="preserve"> and remains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in the first place the responsibility of the researcher.</w:t>
      </w:r>
      <w:r w:rsidR="00BB54BD" w:rsidRPr="00315445">
        <w:rPr>
          <w:rFonts w:ascii="Arial" w:hAnsi="Arial" w:cs="Arial"/>
          <w:sz w:val="20"/>
          <w:szCs w:val="20"/>
          <w:lang w:val="en-GB"/>
        </w:rPr>
        <w:t xml:space="preserve"> 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The </w:t>
      </w:r>
      <w:r w:rsidR="000D44BB">
        <w:rPr>
          <w:rFonts w:ascii="Arial" w:hAnsi="Arial" w:cs="Arial"/>
          <w:sz w:val="20"/>
          <w:szCs w:val="20"/>
          <w:lang w:val="en-GB"/>
        </w:rPr>
        <w:t>E</w:t>
      </w:r>
      <w:r w:rsidR="00AE3655" w:rsidRPr="00315445">
        <w:rPr>
          <w:rFonts w:ascii="Arial" w:hAnsi="Arial" w:cs="Arial"/>
          <w:sz w:val="20"/>
          <w:szCs w:val="20"/>
          <w:lang w:val="en-GB"/>
        </w:rPr>
        <w:t>t</w:t>
      </w:r>
      <w:r w:rsidR="000D44BB">
        <w:rPr>
          <w:rFonts w:ascii="Arial" w:hAnsi="Arial" w:cs="Arial"/>
          <w:sz w:val="20"/>
          <w:szCs w:val="20"/>
          <w:lang w:val="en-GB"/>
        </w:rPr>
        <w:t>hics Review B</w:t>
      </w:r>
      <w:r w:rsidR="00AE3655" w:rsidRPr="00315445">
        <w:rPr>
          <w:rFonts w:ascii="Arial" w:hAnsi="Arial" w:cs="Arial"/>
          <w:sz w:val="20"/>
          <w:szCs w:val="20"/>
          <w:lang w:val="en-GB"/>
        </w:rPr>
        <w:t>oard aim</w:t>
      </w:r>
      <w:r w:rsidR="00931840" w:rsidRPr="00315445">
        <w:rPr>
          <w:rFonts w:ascii="Arial" w:hAnsi="Arial" w:cs="Arial"/>
          <w:sz w:val="20"/>
          <w:szCs w:val="20"/>
          <w:lang w:val="en-GB"/>
        </w:rPr>
        <w:t>s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 at provid</w:t>
      </w:r>
      <w:r w:rsidR="00315445" w:rsidRPr="00315445">
        <w:rPr>
          <w:rFonts w:ascii="Arial" w:hAnsi="Arial" w:cs="Arial"/>
          <w:sz w:val="20"/>
          <w:szCs w:val="20"/>
          <w:lang w:val="en-GB"/>
        </w:rPr>
        <w:t>ing guidance for researchers by</w:t>
      </w:r>
      <w:r w:rsidR="00AE3655" w:rsidRPr="00315445">
        <w:rPr>
          <w:rFonts w:ascii="Arial" w:hAnsi="Arial" w:cs="Arial"/>
          <w:sz w:val="20"/>
          <w:szCs w:val="20"/>
          <w:lang w:val="en-GB"/>
        </w:rPr>
        <w:t>:</w:t>
      </w:r>
    </w:p>
    <w:p w14:paraId="0A64D6DD" w14:textId="77777777" w:rsidR="00AE3655" w:rsidRPr="00315445" w:rsidRDefault="00AE3655" w:rsidP="000D44BB">
      <w:pPr>
        <w:pStyle w:val="ListParagraph"/>
        <w:numPr>
          <w:ilvl w:val="0"/>
          <w:numId w:val="18"/>
        </w:numPr>
        <w:spacing w:after="120" w:line="276" w:lineRule="auto"/>
        <w:ind w:left="709"/>
        <w:rPr>
          <w:sz w:val="20"/>
          <w:lang w:val="en-GB"/>
        </w:rPr>
      </w:pPr>
      <w:r w:rsidRPr="00315445">
        <w:rPr>
          <w:sz w:val="20"/>
          <w:lang w:val="en-GB"/>
        </w:rPr>
        <w:t>Assisting researchers in self evaluating the ethical issues involved in their research</w:t>
      </w:r>
    </w:p>
    <w:p w14:paraId="599385B8" w14:textId="648EE8F0" w:rsidR="00AE3655" w:rsidRPr="00315445" w:rsidRDefault="00AE3655" w:rsidP="000D44BB">
      <w:pPr>
        <w:pStyle w:val="ListParagraph"/>
        <w:numPr>
          <w:ilvl w:val="0"/>
          <w:numId w:val="18"/>
        </w:numPr>
        <w:spacing w:after="120" w:line="276" w:lineRule="auto"/>
        <w:ind w:left="709"/>
        <w:rPr>
          <w:sz w:val="20"/>
          <w:lang w:val="en-GB"/>
        </w:rPr>
      </w:pPr>
      <w:r w:rsidRPr="00315445">
        <w:rPr>
          <w:sz w:val="20"/>
          <w:lang w:val="en-GB"/>
        </w:rPr>
        <w:t>Assessing whether research proposals are in compliance with ethics guidelines</w:t>
      </w:r>
    </w:p>
    <w:p w14:paraId="322CF4B1" w14:textId="2532890B" w:rsidR="00AD6F11" w:rsidRPr="00315445" w:rsidRDefault="00AE3655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 xml:space="preserve">To that goal, the </w:t>
      </w:r>
      <w:r w:rsidR="00C5365D">
        <w:rPr>
          <w:rFonts w:ascii="Arial" w:hAnsi="Arial" w:cs="Arial"/>
          <w:sz w:val="20"/>
          <w:szCs w:val="20"/>
          <w:lang w:val="en-GB"/>
        </w:rPr>
        <w:t>ERB-TLS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</w:t>
      </w:r>
      <w:r w:rsidR="00AE2FF1">
        <w:rPr>
          <w:rFonts w:ascii="Arial" w:hAnsi="Arial" w:cs="Arial"/>
          <w:sz w:val="20"/>
          <w:szCs w:val="20"/>
          <w:lang w:val="en-GB"/>
        </w:rPr>
        <w:t>provides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accessible tools (e.g. checklist</w:t>
      </w:r>
      <w:r w:rsidR="00F74F4F">
        <w:rPr>
          <w:rFonts w:ascii="Arial" w:hAnsi="Arial" w:cs="Arial"/>
          <w:sz w:val="20"/>
          <w:szCs w:val="20"/>
          <w:lang w:val="en-GB"/>
        </w:rPr>
        <w:t>s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) for researchers for self-evaluation and </w:t>
      </w:r>
      <w:r w:rsidR="00AE2FF1">
        <w:rPr>
          <w:rFonts w:ascii="Arial" w:hAnsi="Arial" w:cs="Arial"/>
          <w:sz w:val="20"/>
          <w:szCs w:val="20"/>
          <w:lang w:val="en-GB"/>
        </w:rPr>
        <w:t>has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set up an efficient procedure for the assessment of research proposals.</w:t>
      </w:r>
      <w:r w:rsidR="00AD6F11" w:rsidRPr="0031544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7DCED8" w14:textId="01B40066" w:rsidR="00AE3655" w:rsidRPr="00315445" w:rsidRDefault="00AD6F11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 xml:space="preserve">The responsibility of the researchers does not end when the study receives ethics approval but continues for the entire lifecycle of the research. </w:t>
      </w:r>
    </w:p>
    <w:p w14:paraId="3A575937" w14:textId="77777777" w:rsidR="00315445" w:rsidRDefault="00315445" w:rsidP="00315445">
      <w:pPr>
        <w:pStyle w:val="Heading2"/>
        <w:rPr>
          <w:lang w:val="en-GB"/>
        </w:rPr>
      </w:pPr>
    </w:p>
    <w:p w14:paraId="16EF5B02" w14:textId="77777777" w:rsidR="007F40D4" w:rsidRPr="00315445" w:rsidRDefault="007F40D4" w:rsidP="00315445">
      <w:pPr>
        <w:pStyle w:val="Heading2"/>
        <w:rPr>
          <w:lang w:val="en-GB"/>
        </w:rPr>
      </w:pPr>
      <w:r w:rsidRPr="00315445">
        <w:rPr>
          <w:lang w:val="en-GB"/>
        </w:rPr>
        <w:t>Research ethics Guidelines and Legal Frameworks</w:t>
      </w:r>
    </w:p>
    <w:p w14:paraId="778329B9" w14:textId="77777777" w:rsidR="007F40D4" w:rsidRPr="00315445" w:rsidRDefault="007F40D4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 xml:space="preserve">Research within Tilburg Law School should be in compliance with: </w:t>
      </w:r>
    </w:p>
    <w:p w14:paraId="7DE4A1C7" w14:textId="6928D2CC" w:rsidR="007F40D4" w:rsidRPr="00315445" w:rsidRDefault="007F40D4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The Netherlands Code of conduct for </w:t>
      </w:r>
      <w:r w:rsidR="00AE6AFA">
        <w:rPr>
          <w:sz w:val="20"/>
          <w:lang w:val="en-GB"/>
        </w:rPr>
        <w:t>Academic</w:t>
      </w:r>
      <w:r w:rsidRPr="00315445">
        <w:rPr>
          <w:sz w:val="20"/>
          <w:lang w:val="en-GB"/>
        </w:rPr>
        <w:t xml:space="preserve"> Practice</w:t>
      </w:r>
      <w:r w:rsidRPr="00315445">
        <w:rPr>
          <w:rStyle w:val="FootnoteReference"/>
          <w:sz w:val="20"/>
          <w:lang w:val="en-GB"/>
        </w:rPr>
        <w:footnoteReference w:id="2"/>
      </w:r>
    </w:p>
    <w:p w14:paraId="471F4DFF" w14:textId="5AF5BC96" w:rsidR="007F40D4" w:rsidRPr="00C228AD" w:rsidRDefault="004C2E91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</w:rPr>
      </w:pPr>
      <w:r>
        <w:rPr>
          <w:sz w:val="20"/>
        </w:rPr>
        <w:t>Wet medisch-</w:t>
      </w:r>
      <w:r w:rsidR="007F40D4" w:rsidRPr="00C228AD">
        <w:rPr>
          <w:sz w:val="20"/>
        </w:rPr>
        <w:t>wetenschappelijk onderzoek met mensen</w:t>
      </w:r>
      <w:r w:rsidR="007F40D4" w:rsidRPr="00315445">
        <w:rPr>
          <w:rStyle w:val="FootnoteReference"/>
          <w:sz w:val="20"/>
          <w:lang w:val="en-GB"/>
        </w:rPr>
        <w:footnoteReference w:id="3"/>
      </w:r>
    </w:p>
    <w:p w14:paraId="17000F79" w14:textId="2AEC5C0D" w:rsidR="007F40D4" w:rsidRPr="00315445" w:rsidRDefault="007F40D4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Regulation (EU) 2016/679 of the European Parliament and of the Council of 27 </w:t>
      </w:r>
      <w:r w:rsidR="00410D3A" w:rsidRPr="00315445">
        <w:rPr>
          <w:sz w:val="20"/>
          <w:lang w:val="en-GB"/>
        </w:rPr>
        <w:t>A</w:t>
      </w:r>
      <w:r w:rsidRPr="00315445">
        <w:rPr>
          <w:sz w:val="20"/>
          <w:lang w:val="en-GB"/>
        </w:rPr>
        <w:t>pril 2016 on the protection of natural persons with regard to</w:t>
      </w:r>
      <w:r w:rsidR="00410D3A" w:rsidRPr="00315445">
        <w:rPr>
          <w:sz w:val="20"/>
          <w:lang w:val="en-GB"/>
        </w:rPr>
        <w:t xml:space="preserve"> t</w:t>
      </w:r>
      <w:r w:rsidRPr="00315445">
        <w:rPr>
          <w:sz w:val="20"/>
          <w:lang w:val="en-GB"/>
        </w:rPr>
        <w:t>he processing of pe</w:t>
      </w:r>
      <w:r w:rsidR="00FD36A4" w:rsidRPr="00315445">
        <w:rPr>
          <w:sz w:val="20"/>
          <w:lang w:val="en-GB"/>
        </w:rPr>
        <w:t>rsonal data and on the free mo</w:t>
      </w:r>
      <w:r w:rsidRPr="00315445">
        <w:rPr>
          <w:sz w:val="20"/>
          <w:lang w:val="en-GB"/>
        </w:rPr>
        <w:t>vement of such data</w:t>
      </w:r>
      <w:r w:rsidRPr="00315445">
        <w:rPr>
          <w:rStyle w:val="FootnoteReference"/>
          <w:sz w:val="20"/>
          <w:lang w:val="en-GB"/>
        </w:rPr>
        <w:footnoteReference w:id="4"/>
      </w:r>
      <w:r w:rsidRPr="00315445">
        <w:rPr>
          <w:sz w:val="20"/>
          <w:lang w:val="en-GB"/>
        </w:rPr>
        <w:t xml:space="preserve"> </w:t>
      </w:r>
    </w:p>
    <w:p w14:paraId="785E54A5" w14:textId="7D6BCABB" w:rsidR="007F40D4" w:rsidRPr="00C228AD" w:rsidRDefault="007F40D4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</w:rPr>
      </w:pPr>
      <w:r w:rsidRPr="00C228AD">
        <w:rPr>
          <w:sz w:val="20"/>
        </w:rPr>
        <w:lastRenderedPageBreak/>
        <w:t xml:space="preserve">Dutch </w:t>
      </w:r>
      <w:proofErr w:type="spellStart"/>
      <w:r w:rsidRPr="00C228AD">
        <w:rPr>
          <w:sz w:val="20"/>
        </w:rPr>
        <w:t>Law</w:t>
      </w:r>
      <w:proofErr w:type="spellEnd"/>
      <w:r w:rsidRPr="00C228AD">
        <w:rPr>
          <w:sz w:val="20"/>
        </w:rPr>
        <w:t xml:space="preserve"> </w:t>
      </w:r>
      <w:r w:rsidR="00A52CC3" w:rsidRPr="00C228AD">
        <w:rPr>
          <w:sz w:val="20"/>
        </w:rPr>
        <w:t>Personal Data (Uitvoeringswet Algemene verordening gegevensbescherming) (</w:t>
      </w:r>
      <w:proofErr w:type="spellStart"/>
      <w:r w:rsidR="00A52CC3" w:rsidRPr="00C228AD">
        <w:rPr>
          <w:sz w:val="20"/>
        </w:rPr>
        <w:t>forthcoming</w:t>
      </w:r>
      <w:proofErr w:type="spellEnd"/>
      <w:r w:rsidR="00A52CC3" w:rsidRPr="00C228AD">
        <w:rPr>
          <w:sz w:val="20"/>
        </w:rPr>
        <w:t xml:space="preserve"> 2018)</w:t>
      </w:r>
    </w:p>
    <w:p w14:paraId="2734BB7A" w14:textId="44066FF7" w:rsidR="00FD36A4" w:rsidRPr="00315445" w:rsidRDefault="007F40D4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>These document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s form the basis of the ethics 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review within Tilburg Law School. </w:t>
      </w:r>
    </w:p>
    <w:p w14:paraId="46024087" w14:textId="77777777" w:rsidR="00315445" w:rsidRDefault="00315445" w:rsidP="00315445">
      <w:pPr>
        <w:pStyle w:val="Heading2"/>
        <w:rPr>
          <w:lang w:val="en-GB"/>
        </w:rPr>
      </w:pPr>
    </w:p>
    <w:p w14:paraId="5FFBCB47" w14:textId="77777777" w:rsidR="009A36C1" w:rsidRPr="00315445" w:rsidRDefault="009A36C1" w:rsidP="00315445">
      <w:pPr>
        <w:pStyle w:val="Heading2"/>
        <w:rPr>
          <w:lang w:val="en-GB"/>
        </w:rPr>
      </w:pPr>
      <w:r w:rsidRPr="00315445">
        <w:rPr>
          <w:lang w:val="en-GB"/>
        </w:rPr>
        <w:t xml:space="preserve">Which research needs to be reviewed? </w:t>
      </w:r>
    </w:p>
    <w:p w14:paraId="59B24EB0" w14:textId="7471AA16" w:rsidR="00F94A87" w:rsidRPr="00315445" w:rsidRDefault="009A36C1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>All research that may be harmful</w:t>
      </w:r>
      <w:r w:rsidR="00F94A87" w:rsidRPr="00315445">
        <w:rPr>
          <w:rFonts w:ascii="Arial" w:hAnsi="Arial" w:cs="Arial"/>
          <w:sz w:val="20"/>
          <w:szCs w:val="20"/>
          <w:lang w:val="en-GB"/>
        </w:rPr>
        <w:t xml:space="preserve"> </w:t>
      </w:r>
      <w:r w:rsidR="00F74F4F">
        <w:rPr>
          <w:rFonts w:ascii="Arial" w:hAnsi="Arial" w:cs="Arial"/>
          <w:sz w:val="20"/>
          <w:szCs w:val="20"/>
          <w:lang w:val="en-GB"/>
        </w:rPr>
        <w:t xml:space="preserve">or creates a </w:t>
      </w:r>
      <w:r w:rsidR="00F94A87" w:rsidRPr="00315445">
        <w:rPr>
          <w:rFonts w:ascii="Arial" w:hAnsi="Arial" w:cs="Arial"/>
          <w:sz w:val="20"/>
          <w:szCs w:val="20"/>
          <w:lang w:val="en-GB"/>
        </w:rPr>
        <w:t>risk of harm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to research subjects, in particular (but not exclusively) humans, e.g., subjects of experiments, respondents to questionnaires, interviewees, </w:t>
      </w:r>
      <w:r w:rsidR="00F63DEC" w:rsidRPr="00315445">
        <w:rPr>
          <w:rFonts w:ascii="Arial" w:hAnsi="Arial" w:cs="Arial"/>
          <w:sz w:val="20"/>
          <w:szCs w:val="20"/>
          <w:lang w:val="en-GB"/>
        </w:rPr>
        <w:t>etc.</w:t>
      </w:r>
      <w:r w:rsidR="008420A5" w:rsidRPr="00315445">
        <w:rPr>
          <w:rFonts w:ascii="Arial" w:hAnsi="Arial" w:cs="Arial"/>
          <w:sz w:val="20"/>
          <w:szCs w:val="20"/>
          <w:lang w:val="en-GB"/>
        </w:rPr>
        <w:t>)</w:t>
      </w:r>
      <w:r w:rsidR="00F74F4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F74F4F">
        <w:rPr>
          <w:rFonts w:ascii="Arial" w:hAnsi="Arial" w:cs="Arial"/>
          <w:sz w:val="20"/>
          <w:szCs w:val="20"/>
          <w:lang w:val="en-GB"/>
        </w:rPr>
        <w:t>should</w:t>
      </w:r>
      <w:proofErr w:type="gramEnd"/>
      <w:r w:rsidR="00F74F4F">
        <w:rPr>
          <w:rFonts w:ascii="Arial" w:hAnsi="Arial" w:cs="Arial"/>
          <w:sz w:val="20"/>
          <w:szCs w:val="20"/>
          <w:lang w:val="en-GB"/>
        </w:rPr>
        <w:t xml:space="preserve"> be reviewed.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881A55C" w14:textId="57812EB9" w:rsidR="00F94A87" w:rsidRPr="00315445" w:rsidRDefault="00F94A87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>According to the definition as given by Joel Feinberg (1984) harms are to be regarded as ‘setbacks to</w:t>
      </w:r>
      <w:r w:rsidR="00D56DF0">
        <w:rPr>
          <w:rFonts w:ascii="Arial" w:hAnsi="Arial" w:cs="Arial"/>
          <w:sz w:val="20"/>
          <w:szCs w:val="20"/>
          <w:lang w:val="en-GB"/>
        </w:rPr>
        <w:t>/of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interests’</w:t>
      </w:r>
      <w:r w:rsidRPr="0031544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5"/>
      </w:r>
      <w:r w:rsidRPr="00315445">
        <w:rPr>
          <w:rFonts w:ascii="Arial" w:hAnsi="Arial" w:cs="Arial"/>
          <w:sz w:val="20"/>
          <w:szCs w:val="20"/>
          <w:lang w:val="en-GB"/>
        </w:rPr>
        <w:t>. At least there is a risk of harm when</w:t>
      </w:r>
      <w:r w:rsidR="00941CDD" w:rsidRPr="00315445">
        <w:rPr>
          <w:rFonts w:ascii="Arial" w:hAnsi="Arial" w:cs="Arial"/>
          <w:sz w:val="20"/>
          <w:szCs w:val="20"/>
          <w:lang w:val="en-GB"/>
        </w:rPr>
        <w:t>:</w:t>
      </w:r>
    </w:p>
    <w:p w14:paraId="10B171B9" w14:textId="2104AC92" w:rsidR="00F94A87" w:rsidRPr="00315445" w:rsidRDefault="00F94A87" w:rsidP="00315445">
      <w:pPr>
        <w:pStyle w:val="ListParagraph"/>
        <w:numPr>
          <w:ilvl w:val="0"/>
          <w:numId w:val="12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The research involves </w:t>
      </w:r>
      <w:r w:rsidRPr="00315445">
        <w:rPr>
          <w:b/>
          <w:i/>
          <w:sz w:val="20"/>
          <w:lang w:val="en-GB"/>
        </w:rPr>
        <w:t>vulnerable groups</w:t>
      </w:r>
      <w:r w:rsidRPr="00315445">
        <w:rPr>
          <w:sz w:val="20"/>
          <w:lang w:val="en-GB"/>
        </w:rPr>
        <w:t xml:space="preserve"> such as children, patients, people subject to discrimination, minorities, people unable to give consent, people of dissenting opinion, immigrant or minority communities, sex workers, etc</w:t>
      </w:r>
      <w:r w:rsidR="00F532A0">
        <w:rPr>
          <w:sz w:val="20"/>
          <w:lang w:val="en-GB"/>
        </w:rPr>
        <w:t>.</w:t>
      </w:r>
      <w:r w:rsidRPr="00315445">
        <w:rPr>
          <w:rStyle w:val="FootnoteReference"/>
          <w:sz w:val="20"/>
          <w:lang w:val="en-GB"/>
        </w:rPr>
        <w:footnoteReference w:id="6"/>
      </w:r>
      <w:r w:rsidRPr="00315445">
        <w:rPr>
          <w:sz w:val="20"/>
          <w:lang w:val="en-GB"/>
        </w:rPr>
        <w:t> </w:t>
      </w:r>
      <w:r w:rsidR="00AE3655" w:rsidRPr="00315445">
        <w:rPr>
          <w:sz w:val="20"/>
          <w:lang w:val="en-GB"/>
        </w:rPr>
        <w:t> Experts, for example judges or police off</w:t>
      </w:r>
      <w:r w:rsidR="00931840" w:rsidRPr="00315445">
        <w:rPr>
          <w:sz w:val="20"/>
          <w:lang w:val="en-GB"/>
        </w:rPr>
        <w:t>ic</w:t>
      </w:r>
      <w:r w:rsidR="00AE3655" w:rsidRPr="00315445">
        <w:rPr>
          <w:sz w:val="20"/>
          <w:lang w:val="en-GB"/>
        </w:rPr>
        <w:t>ers, are not</w:t>
      </w:r>
      <w:r w:rsidR="00117EC3" w:rsidRPr="00315445">
        <w:rPr>
          <w:sz w:val="20"/>
          <w:lang w:val="en-GB"/>
        </w:rPr>
        <w:t xml:space="preserve"> considered to be</w:t>
      </w:r>
      <w:r w:rsidR="00AE3655" w:rsidRPr="00315445">
        <w:rPr>
          <w:sz w:val="20"/>
          <w:lang w:val="en-GB"/>
        </w:rPr>
        <w:t xml:space="preserve"> a vulnerable group</w:t>
      </w:r>
      <w:r w:rsidR="00D56DF0">
        <w:rPr>
          <w:sz w:val="20"/>
          <w:lang w:val="en-GB"/>
        </w:rPr>
        <w:t xml:space="preserve"> unless disclosure of the data collected </w:t>
      </w:r>
      <w:r w:rsidR="00F532A0">
        <w:rPr>
          <w:sz w:val="20"/>
          <w:lang w:val="en-GB"/>
        </w:rPr>
        <w:t>c</w:t>
      </w:r>
      <w:r w:rsidR="00D56DF0">
        <w:rPr>
          <w:sz w:val="20"/>
          <w:lang w:val="en-GB"/>
        </w:rPr>
        <w:t>an put them in a vulnerable position</w:t>
      </w:r>
      <w:r w:rsidR="00AE3655" w:rsidRPr="00315445">
        <w:rPr>
          <w:sz w:val="20"/>
          <w:lang w:val="en-GB"/>
        </w:rPr>
        <w:t>.</w:t>
      </w:r>
    </w:p>
    <w:p w14:paraId="02647BA3" w14:textId="0C9D39C0" w:rsidR="00F94A87" w:rsidRPr="00315445" w:rsidRDefault="00F94A87" w:rsidP="00315445">
      <w:pPr>
        <w:pStyle w:val="ListParagraph"/>
        <w:numPr>
          <w:ilvl w:val="0"/>
          <w:numId w:val="12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The research involves </w:t>
      </w:r>
      <w:r w:rsidRPr="00315445">
        <w:rPr>
          <w:b/>
          <w:i/>
          <w:sz w:val="20"/>
          <w:lang w:val="en-GB"/>
        </w:rPr>
        <w:t>sensitive data</w:t>
      </w:r>
      <w:r w:rsidRPr="00315445">
        <w:rPr>
          <w:sz w:val="20"/>
          <w:lang w:val="en-GB"/>
        </w:rPr>
        <w:t>. Sensitive data are personal data revealing</w:t>
      </w:r>
      <w:r w:rsidR="005848BE" w:rsidRPr="00315445">
        <w:rPr>
          <w:sz w:val="20"/>
          <w:lang w:val="en-GB"/>
        </w:rPr>
        <w:t>, among others,</w:t>
      </w:r>
      <w:r w:rsidRPr="00315445">
        <w:rPr>
          <w:sz w:val="20"/>
          <w:lang w:val="en-GB"/>
        </w:rPr>
        <w:t xml:space="preserve"> racial or ethnic origin, </w:t>
      </w:r>
      <w:r w:rsidR="00FD36A4" w:rsidRPr="00315445">
        <w:rPr>
          <w:sz w:val="20"/>
          <w:lang w:val="en-GB"/>
        </w:rPr>
        <w:t>political</w:t>
      </w:r>
      <w:r w:rsidRPr="00315445">
        <w:rPr>
          <w:sz w:val="20"/>
          <w:lang w:val="en-GB"/>
        </w:rPr>
        <w:t xml:space="preserve"> opinions, religious or philosophical beliefs, or </w:t>
      </w:r>
      <w:r w:rsidR="00476783">
        <w:rPr>
          <w:sz w:val="20"/>
          <w:lang w:val="en-GB"/>
        </w:rPr>
        <w:t>memberships (e.g. of trade unions)</w:t>
      </w:r>
      <w:r w:rsidRPr="00315445">
        <w:rPr>
          <w:sz w:val="20"/>
          <w:lang w:val="en-GB"/>
        </w:rPr>
        <w:t>, and the processing of ge</w:t>
      </w:r>
      <w:r w:rsidR="00FD36A4" w:rsidRPr="00315445">
        <w:rPr>
          <w:sz w:val="20"/>
          <w:lang w:val="en-GB"/>
        </w:rPr>
        <w:t>netic data, biometric data for t</w:t>
      </w:r>
      <w:r w:rsidRPr="00315445">
        <w:rPr>
          <w:sz w:val="20"/>
          <w:lang w:val="en-GB"/>
        </w:rPr>
        <w:t>he purpose of uniquely identifying a natural person</w:t>
      </w:r>
      <w:r w:rsidR="003C2B0A">
        <w:rPr>
          <w:sz w:val="20"/>
          <w:lang w:val="en-GB"/>
        </w:rPr>
        <w:t xml:space="preserve">, </w:t>
      </w:r>
      <w:r w:rsidRPr="00315445">
        <w:rPr>
          <w:sz w:val="20"/>
          <w:lang w:val="en-GB"/>
        </w:rPr>
        <w:t xml:space="preserve">data concerning </w:t>
      </w:r>
      <w:r w:rsidR="00FD36A4" w:rsidRPr="00315445">
        <w:rPr>
          <w:sz w:val="20"/>
          <w:lang w:val="en-GB"/>
        </w:rPr>
        <w:t>health</w:t>
      </w:r>
      <w:r w:rsidRPr="00315445">
        <w:rPr>
          <w:sz w:val="20"/>
          <w:lang w:val="en-GB"/>
        </w:rPr>
        <w:t xml:space="preserve"> or data concerning a n</w:t>
      </w:r>
      <w:r w:rsidR="00AE3655" w:rsidRPr="00315445">
        <w:rPr>
          <w:sz w:val="20"/>
          <w:lang w:val="en-GB"/>
        </w:rPr>
        <w:t>atural person’s sex</w:t>
      </w:r>
      <w:r w:rsidR="00FD36A4" w:rsidRPr="00315445">
        <w:rPr>
          <w:sz w:val="20"/>
          <w:lang w:val="en-GB"/>
        </w:rPr>
        <w:t xml:space="preserve"> life or sex</w:t>
      </w:r>
      <w:r w:rsidRPr="00315445">
        <w:rPr>
          <w:sz w:val="20"/>
          <w:lang w:val="en-GB"/>
        </w:rPr>
        <w:t>ual orientation</w:t>
      </w:r>
      <w:r w:rsidR="00F532A0">
        <w:rPr>
          <w:sz w:val="20"/>
          <w:lang w:val="en-GB"/>
        </w:rPr>
        <w:t>.</w:t>
      </w:r>
      <w:r w:rsidR="00941CDD" w:rsidRPr="00315445">
        <w:rPr>
          <w:rStyle w:val="FootnoteReference"/>
          <w:sz w:val="20"/>
          <w:lang w:val="en-GB"/>
        </w:rPr>
        <w:footnoteReference w:id="7"/>
      </w:r>
      <w:r w:rsidRPr="00315445">
        <w:rPr>
          <w:sz w:val="20"/>
          <w:lang w:val="en-GB"/>
        </w:rPr>
        <w:t xml:space="preserve"> </w:t>
      </w:r>
    </w:p>
    <w:p w14:paraId="5D716F8F" w14:textId="17BA1102" w:rsidR="00396713" w:rsidRPr="00315445" w:rsidRDefault="00F532A0" w:rsidP="00315445">
      <w:pPr>
        <w:pStyle w:val="ListParagraph"/>
        <w:numPr>
          <w:ilvl w:val="0"/>
          <w:numId w:val="12"/>
        </w:numPr>
        <w:spacing w:after="120" w:line="276" w:lineRule="auto"/>
        <w:rPr>
          <w:sz w:val="20"/>
          <w:lang w:val="en-GB"/>
        </w:rPr>
      </w:pPr>
      <w:r>
        <w:rPr>
          <w:sz w:val="20"/>
          <w:lang w:val="en-GB"/>
        </w:rPr>
        <w:t>T</w:t>
      </w:r>
      <w:r w:rsidR="005848BE" w:rsidRPr="00315445">
        <w:rPr>
          <w:sz w:val="20"/>
          <w:lang w:val="en-GB"/>
        </w:rPr>
        <w:t>he characteristics of the</w:t>
      </w:r>
      <w:r w:rsidR="00396713" w:rsidRPr="00315445">
        <w:rPr>
          <w:sz w:val="20"/>
          <w:lang w:val="en-GB"/>
        </w:rPr>
        <w:t xml:space="preserve"> </w:t>
      </w:r>
      <w:r w:rsidR="00396713" w:rsidRPr="00315445">
        <w:rPr>
          <w:b/>
          <w:sz w:val="20"/>
          <w:lang w:val="en-GB"/>
        </w:rPr>
        <w:t>research design</w:t>
      </w:r>
      <w:r w:rsidR="00396713" w:rsidRPr="00315445">
        <w:rPr>
          <w:sz w:val="20"/>
          <w:lang w:val="en-GB"/>
        </w:rPr>
        <w:t xml:space="preserve"> </w:t>
      </w:r>
      <w:r w:rsidR="005848BE" w:rsidRPr="00315445">
        <w:rPr>
          <w:sz w:val="20"/>
          <w:lang w:val="en-GB"/>
        </w:rPr>
        <w:t xml:space="preserve">itself are </w:t>
      </w:r>
      <w:r w:rsidR="00396713" w:rsidRPr="00315445">
        <w:rPr>
          <w:sz w:val="20"/>
          <w:lang w:val="en-GB"/>
        </w:rPr>
        <w:t>endangering</w:t>
      </w:r>
      <w:r w:rsidR="005848BE" w:rsidRPr="00315445">
        <w:rPr>
          <w:sz w:val="20"/>
          <w:lang w:val="en-GB"/>
        </w:rPr>
        <w:t xml:space="preserve"> to participants,</w:t>
      </w:r>
      <w:r w:rsidR="00396713" w:rsidRPr="00315445">
        <w:rPr>
          <w:sz w:val="20"/>
          <w:lang w:val="en-GB"/>
        </w:rPr>
        <w:t xml:space="preserve"> or there is a risk that results will be </w:t>
      </w:r>
      <w:r w:rsidR="00396713" w:rsidRPr="00315445">
        <w:rPr>
          <w:b/>
          <w:sz w:val="20"/>
          <w:lang w:val="en-GB"/>
        </w:rPr>
        <w:t>abused</w:t>
      </w:r>
      <w:r w:rsidR="00396713" w:rsidRPr="00315445">
        <w:rPr>
          <w:sz w:val="20"/>
          <w:lang w:val="en-GB"/>
        </w:rPr>
        <w:t xml:space="preserve"> by </w:t>
      </w:r>
      <w:r w:rsidR="005848BE" w:rsidRPr="00315445">
        <w:rPr>
          <w:sz w:val="20"/>
          <w:lang w:val="en-GB"/>
        </w:rPr>
        <w:t>third parties</w:t>
      </w:r>
      <w:r w:rsidR="00AE3655" w:rsidRPr="00315445">
        <w:rPr>
          <w:sz w:val="20"/>
          <w:lang w:val="en-GB"/>
        </w:rPr>
        <w:t xml:space="preserve">. </w:t>
      </w:r>
      <w:r w:rsidR="005848BE" w:rsidRPr="00315445">
        <w:rPr>
          <w:sz w:val="20"/>
          <w:lang w:val="en-GB"/>
        </w:rPr>
        <w:t>While these situations are less likely than those listed under A. and B., researchers should be aware of potential harm in these situations.</w:t>
      </w:r>
    </w:p>
    <w:p w14:paraId="18F5736A" w14:textId="118D1C98" w:rsidR="00AE3655" w:rsidRPr="00315445" w:rsidRDefault="00AE3655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 xml:space="preserve">The researcher needs to </w:t>
      </w:r>
      <w:r w:rsidR="00BE04A0" w:rsidRPr="00315445">
        <w:rPr>
          <w:rFonts w:ascii="Arial" w:hAnsi="Arial" w:cs="Arial"/>
          <w:sz w:val="20"/>
          <w:szCs w:val="20"/>
        </w:rPr>
        <w:t xml:space="preserve">reduce the risk of 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potential harm </w:t>
      </w:r>
      <w:r w:rsidR="00931840" w:rsidRPr="00315445">
        <w:rPr>
          <w:rFonts w:ascii="Arial" w:hAnsi="Arial" w:cs="Arial"/>
          <w:sz w:val="20"/>
          <w:szCs w:val="20"/>
          <w:lang w:val="en-GB"/>
        </w:rPr>
        <w:t>(</w:t>
      </w:r>
      <w:r w:rsidRPr="00315445">
        <w:rPr>
          <w:rFonts w:ascii="Arial" w:hAnsi="Arial" w:cs="Arial"/>
          <w:sz w:val="20"/>
          <w:szCs w:val="20"/>
          <w:lang w:val="en-GB"/>
        </w:rPr>
        <w:t>a non-exhaustive list of examples</w:t>
      </w:r>
      <w:r w:rsidR="005848BE" w:rsidRPr="00315445">
        <w:rPr>
          <w:rFonts w:ascii="Arial" w:hAnsi="Arial" w:cs="Arial"/>
          <w:sz w:val="20"/>
          <w:szCs w:val="20"/>
          <w:lang w:val="en-GB"/>
        </w:rPr>
        <w:t xml:space="preserve"> is provided below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) </w:t>
      </w:r>
      <w:r w:rsidR="00D56DF0">
        <w:rPr>
          <w:rFonts w:ascii="Arial" w:hAnsi="Arial" w:cs="Arial"/>
          <w:sz w:val="20"/>
          <w:szCs w:val="20"/>
          <w:lang w:val="en-GB"/>
        </w:rPr>
        <w:t xml:space="preserve">and prevent harm </w:t>
      </w:r>
      <w:r w:rsidRPr="00315445">
        <w:rPr>
          <w:rFonts w:ascii="Arial" w:hAnsi="Arial" w:cs="Arial"/>
          <w:sz w:val="20"/>
          <w:szCs w:val="20"/>
          <w:lang w:val="en-GB"/>
        </w:rPr>
        <w:t>to the respondents</w:t>
      </w:r>
      <w:r w:rsidR="00D56DF0">
        <w:rPr>
          <w:rFonts w:ascii="Arial" w:hAnsi="Arial" w:cs="Arial"/>
          <w:sz w:val="20"/>
          <w:szCs w:val="20"/>
          <w:lang w:val="en-GB"/>
        </w:rPr>
        <w:t xml:space="preserve"> that is posed by the research. </w:t>
      </w:r>
      <w:r w:rsidRPr="00315445">
        <w:rPr>
          <w:rFonts w:ascii="Arial" w:hAnsi="Arial" w:cs="Arial"/>
          <w:sz w:val="20"/>
          <w:szCs w:val="20"/>
          <w:lang w:val="en-GB"/>
        </w:rPr>
        <w:t>When</w:t>
      </w:r>
      <w:r w:rsidR="00D56DF0">
        <w:rPr>
          <w:rFonts w:ascii="Arial" w:hAnsi="Arial" w:cs="Arial"/>
          <w:sz w:val="20"/>
          <w:szCs w:val="20"/>
          <w:lang w:val="en-GB"/>
        </w:rPr>
        <w:t xml:space="preserve"> risk of</w:t>
      </w:r>
      <w:r w:rsidRPr="00315445">
        <w:rPr>
          <w:rFonts w:ascii="Arial" w:hAnsi="Arial" w:cs="Arial"/>
          <w:sz w:val="20"/>
          <w:szCs w:val="20"/>
          <w:lang w:val="en-GB"/>
        </w:rPr>
        <w:t xml:space="preserve"> potential harm is too high, no benefits of the research can ethically justify the research methods. </w:t>
      </w:r>
      <w:r w:rsidR="00D56DF0">
        <w:rPr>
          <w:rFonts w:ascii="Arial" w:hAnsi="Arial" w:cs="Arial"/>
          <w:sz w:val="20"/>
          <w:szCs w:val="20"/>
          <w:lang w:val="en-GB"/>
        </w:rPr>
        <w:t xml:space="preserve">The researcher has to explain how to mitigate risks of harm. </w:t>
      </w:r>
    </w:p>
    <w:p w14:paraId="0D57CCAB" w14:textId="160D2C82" w:rsidR="00AE3655" w:rsidRPr="00315445" w:rsidRDefault="00C13623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there is still 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doubt about the need for a review, send us an e-mail with a short description of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 research design</w:t>
      </w:r>
      <w:r w:rsidR="00AF522D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0" w:history="1">
        <w:r w:rsidR="00311681" w:rsidRPr="00447962">
          <w:rPr>
            <w:rStyle w:val="Hyperlink"/>
            <w:rFonts w:ascii="Arial" w:hAnsi="Arial" w:cs="Arial"/>
            <w:sz w:val="20"/>
            <w:szCs w:val="20"/>
            <w:lang w:val="en-GB"/>
          </w:rPr>
          <w:t>ERB-TLS@uvt.nl</w:t>
        </w:r>
      </w:hyperlink>
      <w:r w:rsidR="00AF522D">
        <w:rPr>
          <w:rFonts w:ascii="Arial" w:hAnsi="Arial" w:cs="Arial"/>
          <w:sz w:val="20"/>
          <w:szCs w:val="20"/>
          <w:lang w:val="en-GB"/>
        </w:rPr>
        <w:t>)</w:t>
      </w:r>
      <w:r w:rsidR="00311681">
        <w:rPr>
          <w:rFonts w:ascii="Arial" w:hAnsi="Arial" w:cs="Arial"/>
          <w:sz w:val="20"/>
          <w:szCs w:val="20"/>
          <w:lang w:val="en-GB"/>
        </w:rPr>
        <w:t xml:space="preserve"> so we can determine whether or not your research should be reviewed.</w:t>
      </w:r>
      <w:r w:rsidR="00AE3655" w:rsidRPr="0031544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3724E78" w14:textId="1271266F" w:rsidR="00396713" w:rsidRPr="00315445" w:rsidRDefault="00315445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</w:t>
      </w:r>
      <w:r w:rsidR="00396713" w:rsidRPr="00315445">
        <w:rPr>
          <w:rFonts w:ascii="Arial" w:hAnsi="Arial" w:cs="Arial"/>
          <w:sz w:val="20"/>
          <w:szCs w:val="20"/>
          <w:lang w:val="en-GB"/>
        </w:rPr>
        <w:t xml:space="preserve">ist </w:t>
      </w:r>
      <w:r w:rsidR="001D0BCF">
        <w:rPr>
          <w:rFonts w:ascii="Arial" w:hAnsi="Arial" w:cs="Arial"/>
          <w:sz w:val="20"/>
          <w:szCs w:val="20"/>
          <w:lang w:val="en-GB"/>
        </w:rPr>
        <w:t>(</w:t>
      </w:r>
      <w:r w:rsidR="00311681">
        <w:rPr>
          <w:rFonts w:ascii="Arial" w:hAnsi="Arial" w:cs="Arial"/>
          <w:sz w:val="20"/>
          <w:szCs w:val="20"/>
          <w:lang w:val="en-GB"/>
        </w:rPr>
        <w:t>non-</w:t>
      </w:r>
      <w:r w:rsidR="001D0BCF">
        <w:rPr>
          <w:rFonts w:ascii="Arial" w:hAnsi="Arial" w:cs="Arial"/>
          <w:sz w:val="20"/>
          <w:szCs w:val="20"/>
          <w:lang w:val="en-GB"/>
        </w:rPr>
        <w:t xml:space="preserve">exhaustive) </w:t>
      </w:r>
      <w:r w:rsidR="00396713" w:rsidRPr="00315445">
        <w:rPr>
          <w:rFonts w:ascii="Arial" w:hAnsi="Arial" w:cs="Arial"/>
          <w:sz w:val="20"/>
          <w:szCs w:val="20"/>
          <w:lang w:val="en-GB"/>
        </w:rPr>
        <w:t>of examples of harm:</w:t>
      </w:r>
    </w:p>
    <w:p w14:paraId="133931A8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Physical pain, injury, illness or discomfort</w:t>
      </w:r>
    </w:p>
    <w:p w14:paraId="1432A844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Emotional distress or cognitive disturbance</w:t>
      </w:r>
    </w:p>
    <w:p w14:paraId="766DEEF3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Public exposure / exposure to third persons without consent</w:t>
      </w:r>
    </w:p>
    <w:p w14:paraId="7274CD98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Tacit forwarding of data to third persons or organizations</w:t>
      </w:r>
    </w:p>
    <w:p w14:paraId="06004106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Unfair discrimination on the basis of ethnicity, religious belief, gender, sexual preferences, age, disability, cultural or linguistic community</w:t>
      </w:r>
    </w:p>
    <w:p w14:paraId="52CB3FF2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lastRenderedPageBreak/>
        <w:t>Long term mental and physical health damage</w:t>
      </w:r>
    </w:p>
    <w:p w14:paraId="5A610CAA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Abuse of financial or economical setbacks</w:t>
      </w:r>
    </w:p>
    <w:p w14:paraId="582FC939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Impediments of autonomous decision-making, e.g. by providing insufficient or insufficiently comprehensible information about the set-up, the goals and the reasons of the research</w:t>
      </w:r>
    </w:p>
    <w:p w14:paraId="3C476606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Sexual harassment</w:t>
      </w:r>
    </w:p>
    <w:p w14:paraId="1A21D79D" w14:textId="77777777" w:rsidR="00396713" w:rsidRPr="00315445" w:rsidRDefault="00396713" w:rsidP="000D44BB">
      <w:pPr>
        <w:pStyle w:val="ListParagraph"/>
        <w:numPr>
          <w:ilvl w:val="0"/>
          <w:numId w:val="1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Intimidating </w:t>
      </w:r>
      <w:proofErr w:type="spellStart"/>
      <w:r w:rsidRPr="00315445">
        <w:rPr>
          <w:sz w:val="20"/>
          <w:lang w:val="en-GB"/>
        </w:rPr>
        <w:t>behavior</w:t>
      </w:r>
      <w:proofErr w:type="spellEnd"/>
      <w:r w:rsidRPr="00315445">
        <w:rPr>
          <w:sz w:val="20"/>
          <w:lang w:val="en-GB"/>
        </w:rPr>
        <w:t xml:space="preserve"> and undue influence, e.g. in hierarchical relationships</w:t>
      </w:r>
    </w:p>
    <w:p w14:paraId="1F5956F0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Hiding conflicts of interests or (multiple) relationships</w:t>
      </w:r>
    </w:p>
    <w:p w14:paraId="4168F1CE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Participating in, facilitating, assisting, or otherwise engaging in torture, or any cruel, degrading </w:t>
      </w:r>
      <w:proofErr w:type="spellStart"/>
      <w:r w:rsidRPr="00315445">
        <w:rPr>
          <w:sz w:val="20"/>
          <w:lang w:val="en-GB"/>
        </w:rPr>
        <w:t>behavior</w:t>
      </w:r>
      <w:proofErr w:type="spellEnd"/>
    </w:p>
    <w:p w14:paraId="721143A6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Manipulation of </w:t>
      </w:r>
      <w:proofErr w:type="spellStart"/>
      <w:r w:rsidRPr="00315445">
        <w:rPr>
          <w:sz w:val="20"/>
          <w:lang w:val="en-GB"/>
        </w:rPr>
        <w:t>behavior</w:t>
      </w:r>
      <w:proofErr w:type="spellEnd"/>
      <w:r w:rsidRPr="00315445">
        <w:rPr>
          <w:sz w:val="20"/>
          <w:lang w:val="en-GB"/>
        </w:rPr>
        <w:t xml:space="preserve"> or responses other than accounted for in experimental design</w:t>
      </w:r>
    </w:p>
    <w:p w14:paraId="1B5D3304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Unlimited demands of time and effort</w:t>
      </w:r>
    </w:p>
    <w:p w14:paraId="617ACFBB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Negligent or sloppy design and practice of data gathering, including selecting research subjects without checking their (health) condition</w:t>
      </w:r>
    </w:p>
    <w:p w14:paraId="3F802A60" w14:textId="77777777" w:rsidR="00396713" w:rsidRPr="00315445" w:rsidRDefault="00396713" w:rsidP="000D44BB">
      <w:pPr>
        <w:pStyle w:val="ListParagraph"/>
        <w:numPr>
          <w:ilvl w:val="0"/>
          <w:numId w:val="20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Withholding data / findings relevant to the well-being of research subjects</w:t>
      </w:r>
    </w:p>
    <w:p w14:paraId="4F9DC3E5" w14:textId="77777777" w:rsidR="00396713" w:rsidRPr="00315445" w:rsidRDefault="00396713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  <w:r w:rsidRPr="00315445">
        <w:rPr>
          <w:rFonts w:ascii="Arial" w:hAnsi="Arial" w:cs="Arial"/>
          <w:sz w:val="20"/>
          <w:szCs w:val="20"/>
          <w:lang w:val="en-GB"/>
        </w:rPr>
        <w:t>In some cases one also has to curb disproportional profit</w:t>
      </w:r>
    </w:p>
    <w:p w14:paraId="7270F956" w14:textId="77777777" w:rsidR="00396713" w:rsidRPr="00315445" w:rsidRDefault="00396713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Excessive financial rewards</w:t>
      </w:r>
    </w:p>
    <w:p w14:paraId="731A4D94" w14:textId="77777777" w:rsidR="00396713" w:rsidRPr="00315445" w:rsidRDefault="00396713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Waivers for basic educational requirements</w:t>
      </w:r>
    </w:p>
    <w:p w14:paraId="531F11FD" w14:textId="77777777" w:rsidR="00396713" w:rsidRPr="00315445" w:rsidRDefault="00396713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Testimonies and recommendations beyond the skills tested and proved, e.g. in social media</w:t>
      </w:r>
    </w:p>
    <w:p w14:paraId="6A01EE0D" w14:textId="77777777" w:rsidR="00396713" w:rsidRPr="00315445" w:rsidRDefault="00396713" w:rsidP="00315445">
      <w:pPr>
        <w:pStyle w:val="ListParagraph"/>
        <w:numPr>
          <w:ilvl w:val="0"/>
          <w:numId w:val="9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Privileged access to scarce resources that should be distributed by parameters other than being (having been) a research subject.</w:t>
      </w:r>
    </w:p>
    <w:p w14:paraId="1B5FCF3E" w14:textId="77777777" w:rsidR="00315445" w:rsidRDefault="00315445" w:rsidP="00315445">
      <w:pPr>
        <w:pStyle w:val="Heading3"/>
        <w:rPr>
          <w:lang w:val="en-GB" w:eastAsia="nl-NL"/>
        </w:rPr>
      </w:pPr>
    </w:p>
    <w:p w14:paraId="69D150BD" w14:textId="2B7FC50E" w:rsidR="00AE3655" w:rsidRPr="00315445" w:rsidRDefault="00900D2D" w:rsidP="00315445">
      <w:pPr>
        <w:pStyle w:val="Heading2"/>
        <w:rPr>
          <w:lang w:val="en-GB" w:eastAsia="nl-NL"/>
        </w:rPr>
      </w:pPr>
      <w:r w:rsidRPr="00315445">
        <w:rPr>
          <w:lang w:val="en-GB" w:eastAsia="nl-NL"/>
        </w:rPr>
        <w:t xml:space="preserve">How to submit? </w:t>
      </w:r>
    </w:p>
    <w:p w14:paraId="22403067" w14:textId="1010E39C" w:rsidR="00900D2D" w:rsidRPr="009A0BF2" w:rsidRDefault="00900D2D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 w:rsidRPr="00315445">
        <w:rPr>
          <w:sz w:val="20"/>
          <w:lang w:val="en-GB" w:eastAsia="nl-NL"/>
        </w:rPr>
        <w:t xml:space="preserve">The </w:t>
      </w:r>
      <w:r w:rsidR="00AF522D">
        <w:rPr>
          <w:sz w:val="20"/>
          <w:lang w:val="en-GB" w:eastAsia="nl-NL"/>
        </w:rPr>
        <w:t xml:space="preserve">applicant fills out the standard </w:t>
      </w:r>
      <w:r w:rsidR="00AE2FF1">
        <w:rPr>
          <w:sz w:val="20"/>
          <w:lang w:val="en-GB" w:eastAsia="nl-NL"/>
        </w:rPr>
        <w:t>application</w:t>
      </w:r>
      <w:r w:rsidR="00AF522D">
        <w:rPr>
          <w:sz w:val="20"/>
          <w:lang w:val="en-GB" w:eastAsia="nl-NL"/>
        </w:rPr>
        <w:t xml:space="preserve"> form</w:t>
      </w:r>
      <w:r w:rsidR="00AE2FF1">
        <w:rPr>
          <w:sz w:val="20"/>
          <w:lang w:val="en-GB" w:eastAsia="nl-NL"/>
        </w:rPr>
        <w:t>.</w:t>
      </w:r>
    </w:p>
    <w:p w14:paraId="17D4F238" w14:textId="270FC7FB" w:rsidR="00900D2D" w:rsidRPr="00315445" w:rsidRDefault="00900D2D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 w:rsidRPr="009A0BF2">
        <w:rPr>
          <w:sz w:val="20"/>
          <w:lang w:val="en-GB" w:eastAsia="nl-NL"/>
        </w:rPr>
        <w:t xml:space="preserve">The </w:t>
      </w:r>
      <w:r w:rsidR="00311681">
        <w:rPr>
          <w:sz w:val="20"/>
          <w:lang w:val="en-GB" w:eastAsia="nl-NL"/>
        </w:rPr>
        <w:t>applicant</w:t>
      </w:r>
      <w:r w:rsidRPr="009A0BF2">
        <w:rPr>
          <w:sz w:val="20"/>
          <w:lang w:val="en-GB" w:eastAsia="nl-NL"/>
        </w:rPr>
        <w:t xml:space="preserve"> submits the form by sending an e-mail to </w:t>
      </w:r>
      <w:r w:rsidR="009A0BF2">
        <w:rPr>
          <w:sz w:val="20"/>
          <w:lang w:val="en-GB" w:eastAsia="nl-NL"/>
        </w:rPr>
        <w:t>ERB-TLS@uvt.nl.</w:t>
      </w:r>
      <w:r w:rsidR="00A36E27" w:rsidRPr="009A0BF2">
        <w:rPr>
          <w:sz w:val="20"/>
          <w:lang w:val="en-GB" w:eastAsia="nl-NL"/>
        </w:rPr>
        <w:t xml:space="preserve"> The </w:t>
      </w:r>
      <w:r w:rsidR="009774B0">
        <w:rPr>
          <w:sz w:val="20"/>
          <w:lang w:val="en-GB" w:eastAsia="nl-NL"/>
        </w:rPr>
        <w:t>applicant</w:t>
      </w:r>
      <w:r w:rsidR="00A36E27" w:rsidRPr="00315445">
        <w:rPr>
          <w:sz w:val="20"/>
          <w:lang w:val="en-GB" w:eastAsia="nl-NL"/>
        </w:rPr>
        <w:t xml:space="preserve"> includes, if applicable, the following information: </w:t>
      </w:r>
    </w:p>
    <w:p w14:paraId="0A686C34" w14:textId="77777777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The text used to recruit participants for the study (if applicable);</w:t>
      </w:r>
    </w:p>
    <w:p w14:paraId="630BAE60" w14:textId="64B84CB3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The written information about the study that is provided to the participant</w:t>
      </w:r>
      <w:r w:rsidR="0006500C">
        <w:rPr>
          <w:sz w:val="20"/>
          <w:lang w:val="en-GB"/>
        </w:rPr>
        <w:t>s</w:t>
      </w:r>
      <w:r w:rsidRPr="00315445">
        <w:rPr>
          <w:sz w:val="20"/>
          <w:lang w:val="en-GB"/>
        </w:rPr>
        <w:t xml:space="preserve">; </w:t>
      </w:r>
    </w:p>
    <w:p w14:paraId="522D8E83" w14:textId="77777777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Informed consent forms for all parties involved; </w:t>
      </w:r>
    </w:p>
    <w:p w14:paraId="38C1182C" w14:textId="77777777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Questionnaire’s </w:t>
      </w:r>
    </w:p>
    <w:p w14:paraId="62C92EFE" w14:textId="77777777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>The text of the debriefing material (at the end of the data collection);</w:t>
      </w:r>
    </w:p>
    <w:p w14:paraId="56D900C7" w14:textId="2FD6A61B" w:rsidR="00A36E27" w:rsidRPr="00315445" w:rsidRDefault="00A36E27" w:rsidP="00315445">
      <w:pPr>
        <w:pStyle w:val="ListParagraph"/>
        <w:numPr>
          <w:ilvl w:val="1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/>
        </w:rPr>
        <w:t xml:space="preserve">Evidence of approval from </w:t>
      </w:r>
      <w:r w:rsidR="00D748A1">
        <w:rPr>
          <w:sz w:val="20"/>
          <w:lang w:val="en-GB"/>
        </w:rPr>
        <w:t xml:space="preserve">relevant </w:t>
      </w:r>
      <w:r w:rsidRPr="00315445">
        <w:rPr>
          <w:sz w:val="20"/>
          <w:lang w:val="en-GB"/>
        </w:rPr>
        <w:t>external institution</w:t>
      </w:r>
      <w:r w:rsidR="00D748A1">
        <w:rPr>
          <w:sz w:val="20"/>
          <w:lang w:val="en-GB"/>
        </w:rPr>
        <w:t>s</w:t>
      </w:r>
      <w:r w:rsidRPr="00315445">
        <w:rPr>
          <w:sz w:val="20"/>
          <w:lang w:val="en-GB"/>
        </w:rPr>
        <w:t xml:space="preserve"> to conduct the study (if applicable),</w:t>
      </w:r>
    </w:p>
    <w:p w14:paraId="7CECC02D" w14:textId="56007004" w:rsidR="00900D2D" w:rsidRPr="00315445" w:rsidRDefault="00900D2D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/>
        </w:rPr>
      </w:pPr>
      <w:r w:rsidRPr="00315445">
        <w:rPr>
          <w:sz w:val="20"/>
          <w:lang w:val="en-GB" w:eastAsia="nl-NL"/>
        </w:rPr>
        <w:t>The Ethics Review Board will assess the submission.</w:t>
      </w:r>
      <w:r w:rsidR="00A36E27" w:rsidRPr="00315445">
        <w:rPr>
          <w:sz w:val="20"/>
          <w:lang w:val="en-GB" w:eastAsia="nl-NL"/>
        </w:rPr>
        <w:t xml:space="preserve"> The Ethics Review Board meets </w:t>
      </w:r>
      <w:r w:rsidR="009B4E5B">
        <w:rPr>
          <w:sz w:val="20"/>
          <w:lang w:val="en-GB" w:eastAsia="nl-NL"/>
        </w:rPr>
        <w:t>once a</w:t>
      </w:r>
      <w:r w:rsidR="00A36E27" w:rsidRPr="00315445">
        <w:rPr>
          <w:sz w:val="20"/>
          <w:lang w:val="en-GB" w:eastAsia="nl-NL"/>
        </w:rPr>
        <w:t xml:space="preserve"> month</w:t>
      </w:r>
      <w:r w:rsidR="00407031">
        <w:rPr>
          <w:sz w:val="20"/>
          <w:lang w:val="en-GB" w:eastAsia="nl-NL"/>
        </w:rPr>
        <w:t>, either physically or virtually</w:t>
      </w:r>
      <w:r w:rsidR="00A36E27" w:rsidRPr="00315445">
        <w:rPr>
          <w:sz w:val="20"/>
          <w:lang w:val="en-GB" w:eastAsia="nl-NL"/>
        </w:rPr>
        <w:t xml:space="preserve">. </w:t>
      </w:r>
    </w:p>
    <w:p w14:paraId="26BAF25D" w14:textId="2874A268" w:rsidR="00A36E27" w:rsidRDefault="009B4E5B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>Based on</w:t>
      </w:r>
      <w:r w:rsidR="00407031">
        <w:rPr>
          <w:sz w:val="20"/>
          <w:lang w:val="en-GB" w:eastAsia="nl-NL"/>
        </w:rPr>
        <w:t xml:space="preserve"> A, B, and C above</w:t>
      </w:r>
      <w:r>
        <w:rPr>
          <w:sz w:val="20"/>
          <w:lang w:val="en-GB" w:eastAsia="nl-NL"/>
        </w:rPr>
        <w:t xml:space="preserve"> t</w:t>
      </w:r>
      <w:r w:rsidR="00900D2D" w:rsidRPr="00315445">
        <w:rPr>
          <w:sz w:val="20"/>
          <w:lang w:val="en-GB" w:eastAsia="nl-NL"/>
        </w:rPr>
        <w:t>he Ethics Review</w:t>
      </w:r>
      <w:r w:rsidR="00A36E27" w:rsidRPr="00315445">
        <w:rPr>
          <w:sz w:val="20"/>
          <w:lang w:val="en-GB" w:eastAsia="nl-NL"/>
        </w:rPr>
        <w:t xml:space="preserve"> Board decides whether </w:t>
      </w:r>
      <w:r w:rsidR="00AE2FF1">
        <w:rPr>
          <w:sz w:val="20"/>
          <w:lang w:val="en-GB" w:eastAsia="nl-NL"/>
        </w:rPr>
        <w:t xml:space="preserve">ethical clearance </w:t>
      </w:r>
      <w:r>
        <w:rPr>
          <w:sz w:val="20"/>
          <w:lang w:val="en-GB" w:eastAsia="nl-NL"/>
        </w:rPr>
        <w:t>can be granted</w:t>
      </w:r>
      <w:r w:rsidR="00407031">
        <w:rPr>
          <w:sz w:val="20"/>
          <w:lang w:val="en-GB" w:eastAsia="nl-NL"/>
        </w:rPr>
        <w:t xml:space="preserve"> or not</w:t>
      </w:r>
      <w:r w:rsidR="00A36E27" w:rsidRPr="00315445">
        <w:rPr>
          <w:sz w:val="20"/>
          <w:lang w:val="en-GB" w:eastAsia="nl-NL"/>
        </w:rPr>
        <w:t xml:space="preserve">. If not, the ERB explains why. </w:t>
      </w:r>
    </w:p>
    <w:p w14:paraId="0257AFA3" w14:textId="559C98E7" w:rsidR="004936E5" w:rsidRDefault="004936E5" w:rsidP="004936E5">
      <w:pPr>
        <w:pStyle w:val="Heading2"/>
        <w:rPr>
          <w:lang w:val="en-GB" w:eastAsia="nl-NL"/>
        </w:rPr>
      </w:pPr>
      <w:r>
        <w:rPr>
          <w:lang w:val="en-GB" w:eastAsia="nl-NL"/>
        </w:rPr>
        <w:t>Remarks with regard to Data management and the GDPR:</w:t>
      </w:r>
    </w:p>
    <w:p w14:paraId="34DF9630" w14:textId="1D873791" w:rsidR="004936E5" w:rsidRDefault="004936E5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 xml:space="preserve">All researchers </w:t>
      </w:r>
      <w:r w:rsidR="00F532A0">
        <w:rPr>
          <w:sz w:val="20"/>
          <w:lang w:val="en-GB" w:eastAsia="nl-NL"/>
        </w:rPr>
        <w:t>f</w:t>
      </w:r>
      <w:r>
        <w:rPr>
          <w:sz w:val="20"/>
          <w:lang w:val="en-GB" w:eastAsia="nl-NL"/>
        </w:rPr>
        <w:t>ill out the data management questions of the integrated</w:t>
      </w:r>
      <w:r w:rsidR="00AE1DE4">
        <w:rPr>
          <w:sz w:val="20"/>
          <w:lang w:val="en-GB" w:eastAsia="nl-NL"/>
        </w:rPr>
        <w:t xml:space="preserve"> application</w:t>
      </w:r>
      <w:r>
        <w:rPr>
          <w:sz w:val="20"/>
          <w:lang w:val="en-GB" w:eastAsia="nl-NL"/>
        </w:rPr>
        <w:t xml:space="preserve"> form, in accordance with </w:t>
      </w:r>
      <w:proofErr w:type="spellStart"/>
      <w:r>
        <w:rPr>
          <w:sz w:val="20"/>
          <w:lang w:val="en-GB" w:eastAsia="nl-NL"/>
        </w:rPr>
        <w:t>TiU</w:t>
      </w:r>
      <w:proofErr w:type="spellEnd"/>
      <w:r>
        <w:rPr>
          <w:sz w:val="20"/>
          <w:lang w:val="en-GB" w:eastAsia="nl-NL"/>
        </w:rPr>
        <w:t xml:space="preserve"> regulations on data management. This includes researcher</w:t>
      </w:r>
      <w:r w:rsidR="00F532A0">
        <w:rPr>
          <w:sz w:val="20"/>
          <w:lang w:val="en-GB" w:eastAsia="nl-NL"/>
        </w:rPr>
        <w:t>s</w:t>
      </w:r>
      <w:r>
        <w:rPr>
          <w:sz w:val="20"/>
          <w:lang w:val="en-GB" w:eastAsia="nl-NL"/>
        </w:rPr>
        <w:t xml:space="preserve"> who do not collect empirical data</w:t>
      </w:r>
      <w:r w:rsidR="00F532A0">
        <w:rPr>
          <w:sz w:val="20"/>
          <w:lang w:val="en-GB" w:eastAsia="nl-NL"/>
        </w:rPr>
        <w:t>, and research that does not require ethics approval.</w:t>
      </w:r>
    </w:p>
    <w:p w14:paraId="4F646CA3" w14:textId="2F2633E0" w:rsidR="004936E5" w:rsidRDefault="004936E5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>All researchers who deal with personal data fill out the GDPR part of the registration.</w:t>
      </w:r>
    </w:p>
    <w:p w14:paraId="0FE068EE" w14:textId="0518846C" w:rsidR="004936E5" w:rsidRDefault="004936E5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>In accordance with the Research Data Office</w:t>
      </w:r>
      <w:r w:rsidR="00B545B6">
        <w:rPr>
          <w:sz w:val="20"/>
          <w:lang w:val="en-GB" w:eastAsia="nl-NL"/>
        </w:rPr>
        <w:t xml:space="preserve"> (RDO)</w:t>
      </w:r>
      <w:r>
        <w:rPr>
          <w:sz w:val="20"/>
          <w:lang w:val="en-GB" w:eastAsia="nl-NL"/>
        </w:rPr>
        <w:t xml:space="preserve">, the TLS-ERB recommends storing (personal) data in either the M or O drive. </w:t>
      </w:r>
      <w:r w:rsidR="0033362F">
        <w:rPr>
          <w:sz w:val="20"/>
          <w:lang w:val="en-GB" w:eastAsia="nl-NL"/>
        </w:rPr>
        <w:t xml:space="preserve">When sharing data with externals we recommend using </w:t>
      </w:r>
      <w:proofErr w:type="spellStart"/>
      <w:r w:rsidR="0033362F">
        <w:rPr>
          <w:sz w:val="20"/>
          <w:lang w:val="en-GB" w:eastAsia="nl-NL"/>
        </w:rPr>
        <w:t>Surfdrive</w:t>
      </w:r>
      <w:proofErr w:type="spellEnd"/>
      <w:r w:rsidR="0033362F">
        <w:rPr>
          <w:sz w:val="20"/>
          <w:lang w:val="en-GB" w:eastAsia="nl-NL"/>
        </w:rPr>
        <w:t xml:space="preserve">. </w:t>
      </w:r>
    </w:p>
    <w:p w14:paraId="67A0E1CD" w14:textId="17788D68" w:rsidR="004936E5" w:rsidRPr="004936E5" w:rsidRDefault="00C47F49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 xml:space="preserve">More information can be found on the </w:t>
      </w:r>
      <w:hyperlink r:id="rId11" w:history="1">
        <w:r w:rsidRPr="00C47F49">
          <w:rPr>
            <w:rStyle w:val="Hyperlink"/>
            <w:sz w:val="20"/>
            <w:lang w:val="en-GB" w:eastAsia="nl-NL"/>
          </w:rPr>
          <w:t>website</w:t>
        </w:r>
      </w:hyperlink>
      <w:r w:rsidR="004936E5">
        <w:rPr>
          <w:sz w:val="20"/>
          <w:lang w:val="en-GB" w:eastAsia="nl-NL"/>
        </w:rPr>
        <w:t xml:space="preserve"> provided by LIS</w:t>
      </w:r>
      <w:r w:rsidR="00B545B6">
        <w:rPr>
          <w:sz w:val="20"/>
          <w:lang w:val="en-GB" w:eastAsia="nl-NL"/>
        </w:rPr>
        <w:t>/RDO</w:t>
      </w:r>
      <w:r w:rsidR="004936E5">
        <w:rPr>
          <w:sz w:val="20"/>
          <w:lang w:val="en-GB" w:eastAsia="nl-NL"/>
        </w:rPr>
        <w:t>.</w:t>
      </w:r>
    </w:p>
    <w:p w14:paraId="6E959D73" w14:textId="77777777" w:rsidR="00A36E27" w:rsidRPr="00315445" w:rsidRDefault="00A36E27" w:rsidP="00315445">
      <w:pPr>
        <w:pStyle w:val="Heading2"/>
        <w:rPr>
          <w:lang w:val="en-GB" w:eastAsia="nl-NL"/>
        </w:rPr>
      </w:pPr>
    </w:p>
    <w:p w14:paraId="1650EFF2" w14:textId="007E24D5" w:rsidR="00A36E27" w:rsidRPr="00315445" w:rsidRDefault="004936E5" w:rsidP="00315445">
      <w:pPr>
        <w:pStyle w:val="Heading2"/>
      </w:pPr>
      <w:r>
        <w:t xml:space="preserve">Other </w:t>
      </w:r>
      <w:r w:rsidR="00A36E27" w:rsidRPr="00315445">
        <w:t>Remarks:</w:t>
      </w:r>
    </w:p>
    <w:p w14:paraId="3A11CA17" w14:textId="3A33D266" w:rsidR="00A36E27" w:rsidRPr="00315445" w:rsidRDefault="00AE2FF1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>Clearance</w:t>
      </w:r>
      <w:r w:rsidR="00A36E27" w:rsidRPr="00315445">
        <w:rPr>
          <w:sz w:val="20"/>
          <w:lang w:val="en-GB" w:eastAsia="nl-NL"/>
        </w:rPr>
        <w:t xml:space="preserve"> is given to the study as specified in the submission. Changes to studies after </w:t>
      </w:r>
      <w:r>
        <w:rPr>
          <w:sz w:val="20"/>
          <w:lang w:val="en-GB" w:eastAsia="nl-NL"/>
        </w:rPr>
        <w:t>clearance</w:t>
      </w:r>
      <w:r w:rsidR="00A36E27" w:rsidRPr="00315445">
        <w:rPr>
          <w:sz w:val="20"/>
          <w:lang w:val="en-GB" w:eastAsia="nl-NL"/>
        </w:rPr>
        <w:t xml:space="preserve"> has been obtained cannot be made unless they involve aspects that do not have implications for the</w:t>
      </w:r>
      <w:r w:rsidR="00A36E27" w:rsidRPr="00315445">
        <w:rPr>
          <w:sz w:val="20"/>
          <w:lang w:val="en-GB"/>
        </w:rPr>
        <w:t xml:space="preserve"> research </w:t>
      </w:r>
      <w:r w:rsidR="00A36E27" w:rsidRPr="00315445">
        <w:rPr>
          <w:sz w:val="20"/>
          <w:lang w:val="en-GB" w:eastAsia="nl-NL"/>
        </w:rPr>
        <w:t xml:space="preserve">ethical aspects of the study. </w:t>
      </w:r>
    </w:p>
    <w:p w14:paraId="41ADD8E8" w14:textId="7A59D522" w:rsidR="00A36E27" w:rsidRPr="00315445" w:rsidRDefault="00AE2FF1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>
        <w:rPr>
          <w:sz w:val="20"/>
          <w:lang w:val="en-GB" w:eastAsia="nl-NL"/>
        </w:rPr>
        <w:t>Clearance</w:t>
      </w:r>
      <w:r w:rsidR="00A36E27" w:rsidRPr="00315445">
        <w:rPr>
          <w:sz w:val="20"/>
          <w:lang w:val="en-GB" w:eastAsia="nl-NL"/>
        </w:rPr>
        <w:t xml:space="preserve"> </w:t>
      </w:r>
      <w:proofErr w:type="gramStart"/>
      <w:r w:rsidR="00A36E27" w:rsidRPr="00315445">
        <w:rPr>
          <w:sz w:val="20"/>
          <w:lang w:val="en-GB" w:eastAsia="nl-NL"/>
        </w:rPr>
        <w:t>cannot be obtained</w:t>
      </w:r>
      <w:proofErr w:type="gramEnd"/>
      <w:r w:rsidR="00A36E27" w:rsidRPr="00315445">
        <w:rPr>
          <w:sz w:val="20"/>
          <w:lang w:val="en-GB" w:eastAsia="nl-NL"/>
        </w:rPr>
        <w:t xml:space="preserve"> after a study has been conducted</w:t>
      </w:r>
      <w:r w:rsidR="00713B0B">
        <w:rPr>
          <w:sz w:val="20"/>
          <w:lang w:val="en-GB" w:eastAsia="nl-NL"/>
        </w:rPr>
        <w:t>.</w:t>
      </w:r>
      <w:r w:rsidR="00691D92">
        <w:rPr>
          <w:sz w:val="20"/>
          <w:lang w:val="en-GB" w:eastAsia="nl-NL"/>
        </w:rPr>
        <w:t xml:space="preserve"> Only in specific cases</w:t>
      </w:r>
      <w:r w:rsidR="00511E22">
        <w:rPr>
          <w:sz w:val="20"/>
          <w:lang w:val="en-GB" w:eastAsia="nl-NL"/>
        </w:rPr>
        <w:t xml:space="preserve"> (on a tailor made basis)</w:t>
      </w:r>
      <w:r w:rsidR="00691D92">
        <w:rPr>
          <w:sz w:val="20"/>
          <w:lang w:val="en-GB" w:eastAsia="nl-NL"/>
        </w:rPr>
        <w:t xml:space="preserve"> </w:t>
      </w:r>
      <w:proofErr w:type="gramStart"/>
      <w:r w:rsidR="00691D92">
        <w:rPr>
          <w:sz w:val="20"/>
          <w:lang w:val="en-GB" w:eastAsia="nl-NL"/>
        </w:rPr>
        <w:t>can</w:t>
      </w:r>
      <w:r w:rsidR="00511E22">
        <w:rPr>
          <w:sz w:val="20"/>
          <w:lang w:val="en-GB" w:eastAsia="nl-NL"/>
        </w:rPr>
        <w:t xml:space="preserve"> a form of</w:t>
      </w:r>
      <w:r w:rsidR="00691D92">
        <w:rPr>
          <w:sz w:val="20"/>
          <w:lang w:val="en-GB" w:eastAsia="nl-NL"/>
        </w:rPr>
        <w:t xml:space="preserve"> retroactive clearance be granted</w:t>
      </w:r>
      <w:proofErr w:type="gramEnd"/>
      <w:r w:rsidR="00691D92">
        <w:rPr>
          <w:sz w:val="20"/>
          <w:lang w:val="en-GB" w:eastAsia="nl-NL"/>
        </w:rPr>
        <w:t xml:space="preserve">. For more </w:t>
      </w:r>
      <w:r w:rsidR="00511E22">
        <w:rPr>
          <w:sz w:val="20"/>
          <w:lang w:val="en-GB" w:eastAsia="nl-NL"/>
        </w:rPr>
        <w:t>information,</w:t>
      </w:r>
      <w:r w:rsidR="00691D92">
        <w:rPr>
          <w:sz w:val="20"/>
          <w:lang w:val="en-GB" w:eastAsia="nl-NL"/>
        </w:rPr>
        <w:t xml:space="preserve"> contact the ERB. </w:t>
      </w:r>
    </w:p>
    <w:p w14:paraId="7B6F56B3" w14:textId="6ABD3A2E" w:rsidR="00315445" w:rsidRPr="00315445" w:rsidRDefault="00315445" w:rsidP="00315445">
      <w:pPr>
        <w:pStyle w:val="ListParagraph"/>
        <w:numPr>
          <w:ilvl w:val="0"/>
          <w:numId w:val="15"/>
        </w:numPr>
        <w:spacing w:after="120" w:line="276" w:lineRule="auto"/>
        <w:rPr>
          <w:sz w:val="20"/>
          <w:lang w:val="en-GB" w:eastAsia="nl-NL"/>
        </w:rPr>
      </w:pPr>
      <w:r w:rsidRPr="00315445">
        <w:rPr>
          <w:sz w:val="20"/>
          <w:lang w:val="en-GB" w:eastAsia="nl-NL"/>
        </w:rPr>
        <w:t>Students and PhD candidates should ask their supervisor to be the first applicant for the submission</w:t>
      </w:r>
      <w:r w:rsidR="00713B0B">
        <w:rPr>
          <w:sz w:val="20"/>
          <w:lang w:val="en-GB" w:eastAsia="nl-NL"/>
        </w:rPr>
        <w:t>.</w:t>
      </w:r>
    </w:p>
    <w:p w14:paraId="02F99218" w14:textId="77526B37" w:rsidR="00BB54BD" w:rsidRDefault="00D90E70" w:rsidP="00D90E70">
      <w:pPr>
        <w:pStyle w:val="Heading2"/>
        <w:rPr>
          <w:lang w:val="en-GB"/>
        </w:rPr>
      </w:pPr>
      <w:r>
        <w:rPr>
          <w:lang w:val="en-GB"/>
        </w:rPr>
        <w:t>Timeline and other practicalities</w:t>
      </w:r>
      <w:r w:rsidR="00596DC6">
        <w:rPr>
          <w:lang w:val="en-GB"/>
        </w:rPr>
        <w:t>:</w:t>
      </w:r>
    </w:p>
    <w:p w14:paraId="14871BF3" w14:textId="238C8097" w:rsidR="00D90E70" w:rsidRDefault="00D90E70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/>
        </w:rPr>
      </w:pPr>
      <w:r w:rsidRPr="005B137D">
        <w:rPr>
          <w:sz w:val="20"/>
          <w:lang w:val="en-GB"/>
        </w:rPr>
        <w:t>The ERB</w:t>
      </w:r>
      <w:r w:rsidR="00F075D7" w:rsidRPr="005B137D">
        <w:rPr>
          <w:sz w:val="20"/>
          <w:lang w:val="en-GB"/>
        </w:rPr>
        <w:t>-TLS</w:t>
      </w:r>
      <w:r w:rsidRPr="005B137D">
        <w:rPr>
          <w:sz w:val="20"/>
          <w:lang w:val="en-GB"/>
        </w:rPr>
        <w:t xml:space="preserve"> strives to complete the procedure for receiving ethical clearance within three weeks</w:t>
      </w:r>
      <w:r w:rsidR="00F532A0">
        <w:rPr>
          <w:sz w:val="20"/>
          <w:lang w:val="en-GB"/>
        </w:rPr>
        <w:t xml:space="preserve"> after a complete application file has been submitted. </w:t>
      </w:r>
    </w:p>
    <w:p w14:paraId="27332E6E" w14:textId="0F534EC6" w:rsidR="0007629F" w:rsidRPr="005B137D" w:rsidRDefault="0007629F" w:rsidP="000D44BB">
      <w:pPr>
        <w:pStyle w:val="ListParagraph"/>
        <w:numPr>
          <w:ilvl w:val="0"/>
          <w:numId w:val="15"/>
        </w:num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>The ERB-TLS does not require an in</w:t>
      </w:r>
      <w:r w:rsidR="00AA67E7">
        <w:rPr>
          <w:sz w:val="20"/>
          <w:lang w:val="en-GB"/>
        </w:rPr>
        <w:t>-</w:t>
      </w:r>
      <w:r>
        <w:rPr>
          <w:sz w:val="20"/>
          <w:lang w:val="en-GB"/>
        </w:rPr>
        <w:t xml:space="preserve">depth </w:t>
      </w:r>
      <w:r w:rsidR="00AE2FF1">
        <w:rPr>
          <w:sz w:val="20"/>
          <w:lang w:val="en-GB"/>
        </w:rPr>
        <w:t xml:space="preserve">explanation of </w:t>
      </w:r>
      <w:r w:rsidR="00C13623">
        <w:rPr>
          <w:sz w:val="20"/>
          <w:lang w:val="en-GB"/>
        </w:rPr>
        <w:t>the</w:t>
      </w:r>
      <w:r w:rsidR="00AE2FF1">
        <w:rPr>
          <w:sz w:val="20"/>
          <w:lang w:val="en-GB"/>
        </w:rPr>
        <w:t xml:space="preserve"> theoretical/</w:t>
      </w:r>
      <w:r w:rsidR="00AA67E7">
        <w:rPr>
          <w:sz w:val="20"/>
          <w:lang w:val="en-GB"/>
        </w:rPr>
        <w:t xml:space="preserve">methodological </w:t>
      </w:r>
      <w:r>
        <w:rPr>
          <w:sz w:val="20"/>
          <w:lang w:val="en-GB"/>
        </w:rPr>
        <w:t>background</w:t>
      </w:r>
      <w:r w:rsidR="00C13623">
        <w:rPr>
          <w:sz w:val="20"/>
          <w:lang w:val="en-GB"/>
        </w:rPr>
        <w:t xml:space="preserve"> of a research project</w:t>
      </w:r>
      <w:r>
        <w:rPr>
          <w:sz w:val="20"/>
          <w:lang w:val="en-GB"/>
        </w:rPr>
        <w:t>. Please keep it a</w:t>
      </w:r>
      <w:r w:rsidR="00F532A0">
        <w:rPr>
          <w:sz w:val="20"/>
          <w:lang w:val="en-GB"/>
        </w:rPr>
        <w:t>s</w:t>
      </w:r>
      <w:r>
        <w:rPr>
          <w:sz w:val="20"/>
          <w:lang w:val="en-GB"/>
        </w:rPr>
        <w:t xml:space="preserve"> succinct as possible. </w:t>
      </w:r>
    </w:p>
    <w:p w14:paraId="3133350E" w14:textId="77777777" w:rsidR="00D90E70" w:rsidRDefault="00D90E70" w:rsidP="00315445">
      <w:pPr>
        <w:spacing w:after="120" w:line="276" w:lineRule="auto"/>
        <w:rPr>
          <w:rFonts w:ascii="Arial" w:hAnsi="Arial" w:cs="Arial"/>
          <w:sz w:val="20"/>
          <w:szCs w:val="20"/>
          <w:lang w:val="en-GB"/>
        </w:rPr>
      </w:pPr>
    </w:p>
    <w:p w14:paraId="7C16214C" w14:textId="78086587" w:rsidR="00811175" w:rsidRDefault="00811175" w:rsidP="00811175">
      <w:pPr>
        <w:pStyle w:val="Heading2"/>
        <w:rPr>
          <w:lang w:val="en-GB"/>
        </w:rPr>
      </w:pPr>
      <w:r>
        <w:rPr>
          <w:lang w:val="en-GB"/>
        </w:rPr>
        <w:t>Flowchart procedure ERB (Ethics, data management and GDPR)</w:t>
      </w:r>
      <w:bookmarkStart w:id="0" w:name="_GoBack"/>
      <w:bookmarkEnd w:id="0"/>
    </w:p>
    <w:p w14:paraId="5BA46E6E" w14:textId="7B38F536" w:rsidR="00F40473" w:rsidRPr="00F40473" w:rsidRDefault="00F40473" w:rsidP="00F40473">
      <w:pPr>
        <w:rPr>
          <w:lang w:val="en-GB"/>
        </w:rPr>
      </w:pPr>
      <w:r>
        <w:rPr>
          <w:noProof/>
        </w:rPr>
        <w:drawing>
          <wp:inline distT="0" distB="0" distL="0" distR="0" wp14:anchorId="5324117A" wp14:editId="33C2EE2F">
            <wp:extent cx="5943600" cy="593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473" w:rsidRPr="00F40473" w:rsidSect="00207BC8">
      <w:pgSz w:w="12240" w:h="15840"/>
      <w:pgMar w:top="1430" w:right="1440" w:bottom="1440" w:left="1440" w:header="720" w:footer="720" w:gutter="0"/>
      <w:cols w:space="720" w:equalWidth="0">
        <w:col w:w="936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E0400" w16cid:durableId="1E142B2E"/>
  <w16cid:commentId w16cid:paraId="0B95ADB2" w16cid:durableId="1E142A39"/>
  <w16cid:commentId w16cid:paraId="714715B3" w16cid:durableId="1E142A75"/>
  <w16cid:commentId w16cid:paraId="59EF0AE1" w16cid:durableId="1E142A8C"/>
  <w16cid:commentId w16cid:paraId="4D3EECE0" w16cid:durableId="1E142732"/>
  <w16cid:commentId w16cid:paraId="0D674A2B" w16cid:durableId="1E142AB2"/>
  <w16cid:commentId w16cid:paraId="28DAEDE1" w16cid:durableId="1E142A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5C21" w14:textId="77777777" w:rsidR="00E83CEB" w:rsidRDefault="00E83CEB" w:rsidP="00F94A87">
      <w:pPr>
        <w:spacing w:after="0" w:line="240" w:lineRule="auto"/>
      </w:pPr>
      <w:r>
        <w:separator/>
      </w:r>
    </w:p>
  </w:endnote>
  <w:endnote w:type="continuationSeparator" w:id="0">
    <w:p w14:paraId="3E5BCBBD" w14:textId="77777777" w:rsidR="00E83CEB" w:rsidRDefault="00E83CEB" w:rsidP="00F94A87">
      <w:pPr>
        <w:spacing w:after="0" w:line="240" w:lineRule="auto"/>
      </w:pPr>
      <w:r>
        <w:continuationSeparator/>
      </w:r>
    </w:p>
  </w:endnote>
  <w:endnote w:type="continuationNotice" w:id="1">
    <w:p w14:paraId="45D35C11" w14:textId="77777777" w:rsidR="00E83CEB" w:rsidRDefault="00E83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8139" w14:textId="77777777" w:rsidR="00E83CEB" w:rsidRDefault="00E83CEB" w:rsidP="00F94A87">
      <w:pPr>
        <w:spacing w:after="0" w:line="240" w:lineRule="auto"/>
      </w:pPr>
      <w:r>
        <w:separator/>
      </w:r>
    </w:p>
  </w:footnote>
  <w:footnote w:type="continuationSeparator" w:id="0">
    <w:p w14:paraId="09FB5F30" w14:textId="77777777" w:rsidR="00E83CEB" w:rsidRDefault="00E83CEB" w:rsidP="00F94A87">
      <w:pPr>
        <w:spacing w:after="0" w:line="240" w:lineRule="auto"/>
      </w:pPr>
      <w:r>
        <w:continuationSeparator/>
      </w:r>
    </w:p>
  </w:footnote>
  <w:footnote w:type="continuationNotice" w:id="1">
    <w:p w14:paraId="3406F38F" w14:textId="77777777" w:rsidR="00E83CEB" w:rsidRDefault="00E83CEB">
      <w:pPr>
        <w:spacing w:after="0" w:line="240" w:lineRule="auto"/>
      </w:pPr>
    </w:p>
  </w:footnote>
  <w:footnote w:id="2">
    <w:p w14:paraId="74913201" w14:textId="6F001E06" w:rsidR="007F40D4" w:rsidRPr="00941CDD" w:rsidRDefault="007F40D4" w:rsidP="007F40D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50E89" w:rsidRPr="00B010CD">
          <w:rPr>
            <w:rStyle w:val="Hyperlink"/>
          </w:rPr>
          <w:t>http://www.vsnu.nl/files/documenten/Domeinen/Onderzoek/The_Netherlands_Code%20of_Conduct_for_Academic_Practice_2004_(version2014).pdf</w:t>
        </w:r>
      </w:hyperlink>
      <w:r w:rsidR="00C50E89">
        <w:t xml:space="preserve"> </w:t>
      </w:r>
    </w:p>
  </w:footnote>
  <w:footnote w:id="3">
    <w:p w14:paraId="01383419" w14:textId="77777777" w:rsidR="007F40D4" w:rsidRPr="00941CDD" w:rsidRDefault="007F40D4" w:rsidP="007F40D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335E2">
        <w:rPr>
          <w:lang w:val="nl-NL"/>
        </w:rPr>
        <w:t xml:space="preserve"> http://wetten.overheid.nl/BWBR0009408/2017-03-01</w:t>
      </w:r>
    </w:p>
  </w:footnote>
  <w:footnote w:id="4">
    <w:p w14:paraId="64334D91" w14:textId="77777777" w:rsidR="007F40D4" w:rsidRPr="00941CDD" w:rsidRDefault="007F40D4" w:rsidP="007F40D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335E2">
        <w:rPr>
          <w:lang w:val="nl-NL"/>
        </w:rPr>
        <w:t xml:space="preserve"> http://ec.europa.eu/justice/data-protection/reform/files/regulation_oj_en.pdf</w:t>
      </w:r>
    </w:p>
  </w:footnote>
  <w:footnote w:id="5">
    <w:p w14:paraId="1F338D25" w14:textId="5DB012A0" w:rsidR="00F94A87" w:rsidRPr="00F335E2" w:rsidRDefault="00F94A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2E91">
        <w:t xml:space="preserve">Joel Feinberg; </w:t>
      </w:r>
      <w:proofErr w:type="gramStart"/>
      <w:r>
        <w:rPr>
          <w:lang w:eastAsia="nl-NL"/>
        </w:rPr>
        <w:t>The</w:t>
      </w:r>
      <w:proofErr w:type="gramEnd"/>
      <w:r>
        <w:rPr>
          <w:lang w:eastAsia="nl-NL"/>
        </w:rPr>
        <w:t xml:space="preserve"> Moral Limits of the Criminal Law, vol. I Harm to Others (1984) 31ff</w:t>
      </w:r>
    </w:p>
  </w:footnote>
  <w:footnote w:id="6">
    <w:p w14:paraId="17BA7EBD" w14:textId="0B88EDA6" w:rsidR="00F94A87" w:rsidRPr="00F335E2" w:rsidRDefault="00F94A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1CDD" w:rsidRPr="00F335E2">
        <w:t>According to the Regulation (EU) 2016/679 of the European Parliament and of the Council of 27 April 2016 on the protection of natural persons with regard to</w:t>
      </w:r>
      <w:r w:rsidR="00365F3D">
        <w:t xml:space="preserve"> </w:t>
      </w:r>
      <w:r w:rsidR="00941CDD" w:rsidRPr="00F335E2">
        <w:t>the processing of personal data and on the fre</w:t>
      </w:r>
      <w:r w:rsidR="00365F3D">
        <w:t>e mo</w:t>
      </w:r>
      <w:r w:rsidR="007B73BE" w:rsidRPr="00F335E2">
        <w:t>vement of such data, and r</w:t>
      </w:r>
      <w:r w:rsidR="00941CDD" w:rsidRPr="00F335E2">
        <w:t>epealing Directive 95/46/EC</w:t>
      </w:r>
    </w:p>
  </w:footnote>
  <w:footnote w:id="7">
    <w:p w14:paraId="689CD846" w14:textId="2D987BEB" w:rsidR="00941CDD" w:rsidRPr="00F335E2" w:rsidRDefault="00941C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5E2">
        <w:t>According to the Regulation (EU) 2016/679 of the European Parliament and of the Council of 27 April 2016 on the protection of natural persons with regard to</w:t>
      </w:r>
      <w:r w:rsidR="00365F3D">
        <w:t xml:space="preserve"> t</w:t>
      </w:r>
      <w:r w:rsidRPr="00F335E2">
        <w:t>he processing of per</w:t>
      </w:r>
      <w:r w:rsidR="00365F3D">
        <w:t>sonal data and on the free mo</w:t>
      </w:r>
      <w:r w:rsidR="004C2E91">
        <w:t>vement of such data, and r</w:t>
      </w:r>
      <w:r w:rsidRPr="00F335E2">
        <w:t>epealing Directive 95/46/EC, article 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8C4880"/>
    <w:multiLevelType w:val="hybridMultilevel"/>
    <w:tmpl w:val="5FE08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0733"/>
    <w:multiLevelType w:val="hybridMultilevel"/>
    <w:tmpl w:val="A12C88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194332"/>
    <w:multiLevelType w:val="hybridMultilevel"/>
    <w:tmpl w:val="01BAB9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4900"/>
    <w:multiLevelType w:val="hybridMultilevel"/>
    <w:tmpl w:val="76A622AA"/>
    <w:lvl w:ilvl="0" w:tplc="2A2A00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7AA6"/>
    <w:multiLevelType w:val="hybridMultilevel"/>
    <w:tmpl w:val="B0844BB8"/>
    <w:lvl w:ilvl="0" w:tplc="16E82D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75E5"/>
    <w:multiLevelType w:val="hybridMultilevel"/>
    <w:tmpl w:val="25FEF8A8"/>
    <w:lvl w:ilvl="0" w:tplc="2A2A00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1A82"/>
    <w:multiLevelType w:val="hybridMultilevel"/>
    <w:tmpl w:val="46B29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17AC"/>
    <w:multiLevelType w:val="hybridMultilevel"/>
    <w:tmpl w:val="962233C2"/>
    <w:lvl w:ilvl="0" w:tplc="2A2A00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6D31"/>
    <w:multiLevelType w:val="hybridMultilevel"/>
    <w:tmpl w:val="A02E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D679D"/>
    <w:multiLevelType w:val="hybridMultilevel"/>
    <w:tmpl w:val="5E0C7404"/>
    <w:lvl w:ilvl="0" w:tplc="2A2A003C">
      <w:start w:val="4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D457B5A"/>
    <w:multiLevelType w:val="hybridMultilevel"/>
    <w:tmpl w:val="DAAED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2E9"/>
    <w:multiLevelType w:val="multilevel"/>
    <w:tmpl w:val="87901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9"/>
  </w:num>
  <w:num w:numId="15">
    <w:abstractNumId w:val="15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1"/>
    <w:rsid w:val="000316C1"/>
    <w:rsid w:val="00060EED"/>
    <w:rsid w:val="0006500C"/>
    <w:rsid w:val="0007629F"/>
    <w:rsid w:val="000D44BB"/>
    <w:rsid w:val="00117EC3"/>
    <w:rsid w:val="001226B5"/>
    <w:rsid w:val="00130447"/>
    <w:rsid w:val="00130A40"/>
    <w:rsid w:val="00172E6C"/>
    <w:rsid w:val="001D0BCF"/>
    <w:rsid w:val="001D5768"/>
    <w:rsid w:val="00207BC8"/>
    <w:rsid w:val="00255A00"/>
    <w:rsid w:val="002F54F5"/>
    <w:rsid w:val="00311681"/>
    <w:rsid w:val="00315445"/>
    <w:rsid w:val="00323B8E"/>
    <w:rsid w:val="00332FE9"/>
    <w:rsid w:val="0033362F"/>
    <w:rsid w:val="00365F3D"/>
    <w:rsid w:val="00367A50"/>
    <w:rsid w:val="00396713"/>
    <w:rsid w:val="003C2B0A"/>
    <w:rsid w:val="003D549B"/>
    <w:rsid w:val="00407031"/>
    <w:rsid w:val="00410D3A"/>
    <w:rsid w:val="0045660F"/>
    <w:rsid w:val="00476783"/>
    <w:rsid w:val="004936E5"/>
    <w:rsid w:val="004C2E91"/>
    <w:rsid w:val="00511E22"/>
    <w:rsid w:val="00512504"/>
    <w:rsid w:val="00522B5A"/>
    <w:rsid w:val="00525A51"/>
    <w:rsid w:val="005848BE"/>
    <w:rsid w:val="00596DC6"/>
    <w:rsid w:val="005B137D"/>
    <w:rsid w:val="00602605"/>
    <w:rsid w:val="00691D92"/>
    <w:rsid w:val="00694936"/>
    <w:rsid w:val="006C4C15"/>
    <w:rsid w:val="006D540E"/>
    <w:rsid w:val="00713B0B"/>
    <w:rsid w:val="00742DDB"/>
    <w:rsid w:val="007A4D4B"/>
    <w:rsid w:val="007A6375"/>
    <w:rsid w:val="007B73BE"/>
    <w:rsid w:val="007D5248"/>
    <w:rsid w:val="007E6810"/>
    <w:rsid w:val="007F40D4"/>
    <w:rsid w:val="00811175"/>
    <w:rsid w:val="008420A5"/>
    <w:rsid w:val="0086575A"/>
    <w:rsid w:val="008921C6"/>
    <w:rsid w:val="008A5837"/>
    <w:rsid w:val="00900D2D"/>
    <w:rsid w:val="00931840"/>
    <w:rsid w:val="00941CDD"/>
    <w:rsid w:val="00943087"/>
    <w:rsid w:val="009634B5"/>
    <w:rsid w:val="009774B0"/>
    <w:rsid w:val="009A0BF2"/>
    <w:rsid w:val="009A36C1"/>
    <w:rsid w:val="009A730C"/>
    <w:rsid w:val="009B4E5B"/>
    <w:rsid w:val="009E1CBF"/>
    <w:rsid w:val="00A160E1"/>
    <w:rsid w:val="00A36E27"/>
    <w:rsid w:val="00A52CC3"/>
    <w:rsid w:val="00A72898"/>
    <w:rsid w:val="00AA67E7"/>
    <w:rsid w:val="00AD6F11"/>
    <w:rsid w:val="00AE1DE4"/>
    <w:rsid w:val="00AE2FF1"/>
    <w:rsid w:val="00AE3655"/>
    <w:rsid w:val="00AE6AFA"/>
    <w:rsid w:val="00AF27E9"/>
    <w:rsid w:val="00AF522D"/>
    <w:rsid w:val="00AF5B17"/>
    <w:rsid w:val="00B02185"/>
    <w:rsid w:val="00B06426"/>
    <w:rsid w:val="00B1667E"/>
    <w:rsid w:val="00B42938"/>
    <w:rsid w:val="00B545B6"/>
    <w:rsid w:val="00BB54BD"/>
    <w:rsid w:val="00BE04A0"/>
    <w:rsid w:val="00BE5C3E"/>
    <w:rsid w:val="00C13623"/>
    <w:rsid w:val="00C228AD"/>
    <w:rsid w:val="00C2563C"/>
    <w:rsid w:val="00C47F49"/>
    <w:rsid w:val="00C50E89"/>
    <w:rsid w:val="00C5365D"/>
    <w:rsid w:val="00CD3219"/>
    <w:rsid w:val="00CE259C"/>
    <w:rsid w:val="00D42E37"/>
    <w:rsid w:val="00D46386"/>
    <w:rsid w:val="00D56DF0"/>
    <w:rsid w:val="00D748A1"/>
    <w:rsid w:val="00D90E70"/>
    <w:rsid w:val="00E83CEB"/>
    <w:rsid w:val="00EB5788"/>
    <w:rsid w:val="00ED335E"/>
    <w:rsid w:val="00F075D7"/>
    <w:rsid w:val="00F335E2"/>
    <w:rsid w:val="00F40473"/>
    <w:rsid w:val="00F4095A"/>
    <w:rsid w:val="00F532A0"/>
    <w:rsid w:val="00F63DEC"/>
    <w:rsid w:val="00F7446E"/>
    <w:rsid w:val="00F74F4F"/>
    <w:rsid w:val="00F75B41"/>
    <w:rsid w:val="00F94A87"/>
    <w:rsid w:val="00FD36A4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C5121"/>
  <w15:docId w15:val="{164438D0-6B00-4970-B85C-A55EA5A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6C1"/>
    <w:pPr>
      <w:spacing w:after="0" w:line="240" w:lineRule="auto"/>
      <w:ind w:left="720"/>
      <w:contextualSpacing/>
    </w:pPr>
    <w:rPr>
      <w:rFonts w:ascii="Arial" w:hAnsi="Arial" w:cs="Arial"/>
      <w:szCs w:val="20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A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E2"/>
  </w:style>
  <w:style w:type="paragraph" w:styleId="Footer">
    <w:name w:val="footer"/>
    <w:basedOn w:val="Normal"/>
    <w:link w:val="FooterChar"/>
    <w:uiPriority w:val="99"/>
    <w:unhideWhenUsed/>
    <w:rsid w:val="00F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E2"/>
  </w:style>
  <w:style w:type="character" w:customStyle="1" w:styleId="Heading3Char">
    <w:name w:val="Heading 3 Char"/>
    <w:basedOn w:val="DefaultParagraphFont"/>
    <w:link w:val="Heading3"/>
    <w:uiPriority w:val="9"/>
    <w:rsid w:val="003154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E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intranet/support-facilities/legal/legalprotection/privacy/resear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lburguniversity.edu/intranet/information-for/scientists/research/management/data-poli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B-TLS@uv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web/intranet/information-for/scientists/research/policy/erb/tls-ethics-review.ht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nu.nl/files/documenten/Domeinen/Onderzoek/The_Netherlands_Code%20of_Conduct_for_Academic_Practice_2004_(version2014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D80B-8508-4452-ADED-0E09E0F4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J.W. Floor</dc:creator>
  <cp:lastModifiedBy>L. Martens</cp:lastModifiedBy>
  <cp:revision>5</cp:revision>
  <dcterms:created xsi:type="dcterms:W3CDTF">2018-09-05T13:19:00Z</dcterms:created>
  <dcterms:modified xsi:type="dcterms:W3CDTF">2018-09-05T13:36:00Z</dcterms:modified>
</cp:coreProperties>
</file>